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wmf" ContentType="image/x-wmf"/>
  <Override PartName="/word/media/image3.png" ContentType="image/png"/>
  <Override PartName="/word/media/image4.wmf" ContentType="image/x-wmf"/>
  <Override PartName="/word/media/image10.wmf" ContentType="image/x-wmf"/>
  <Override PartName="/word/media/image5.wmf" ContentType="image/x-wmf"/>
  <Override PartName="/word/media/image6.png" ContentType="image/png"/>
  <Override PartName="/word/media/image7.wmf" ContentType="image/x-wmf"/>
  <Override PartName="/word/media/image8.png" ContentType="image/png"/>
  <Override PartName="/word/media/image9.png" ContentType="image/png"/>
  <Override PartName="/word/media/image11.wmf" ContentType="image/x-wmf"/>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glossary/styles.xml" ContentType="application/vnd.openxmlformats-officedocument.wordprocessingml.styles+xml"/>
  <Override PartName="/word/glossary/_rels/document.xml.rels" ContentType="application/vnd.openxmlformats-package.relationships+xml"/>
  <Override PartName="/word/_rels/document.xml.rels" ContentType="application/vnd.openxmlformats-package.relationships+xml"/>
  <Override PartName="/word/_rels/footnotes.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Cover Pages"/>
          <w:docPartUnique w:val="true"/>
        </w:docPartObj>
        <w:id w:val="1586110124"/>
      </w:sdtPr>
      <w:sdtContent>
        <w:p>
          <w:pPr>
            <w:pStyle w:val="Normal"/>
            <w:rPr>
              <w:b/>
              <w:bCs/>
            </w:rPr>
          </w:pPr>
          <w:r>
            <w:rPr>
              <w:b/>
              <w:bCs/>
            </w:rPr>
          </w:r>
        </w:p>
        <w:tbl>
          <w:tblPr>
            <w:tblpPr w:vertAnchor="margin" w:horzAnchor="margin" w:tblpXSpec="center" w:leftFromText="187" w:rightFromText="187" w:tblpY="2881"/>
            <w:tblW w:w="4000" w:type="pct"/>
            <w:jc w:val="center"/>
            <w:tblInd w:w="0" w:type="dxa"/>
            <w:tblLayout w:type="fixed"/>
            <w:tblCellMar>
              <w:top w:w="216" w:type="dxa"/>
              <w:left w:w="115" w:type="dxa"/>
              <w:bottom w:w="216" w:type="dxa"/>
              <w:right w:w="115" w:type="dxa"/>
            </w:tblCellMar>
            <w:tblLook w:firstRow="1" w:noVBand="1" w:lastRow="0" w:firstColumn="1" w:lastColumn="0" w:noHBand="0" w:val="04a0"/>
          </w:tblPr>
          <w:tblGrid>
            <w:gridCol w:w="8372"/>
          </w:tblGrid>
          <w:tr>
            <w:trPr/>
            <w:tc>
              <w:tcPr>
                <w:tcW w:w="8372" w:type="dxa"/>
                <w:tcBorders>
                  <w:left w:val="single" w:sz="12" w:space="0" w:color="4472C4"/>
                </w:tcBorders>
              </w:tcPr>
              <w:p>
                <w:pPr>
                  <w:pStyle w:val="NoSpacing"/>
                  <w:rPr>
                    <w:b/>
                    <w:bCs/>
                    <w:color w:themeColor="accent1" w:val="4472C4"/>
                    <w:sz w:val="24"/>
                  </w:rPr>
                </w:pPr>
                <w:sdt>
                  <w:sdtPr>
                    <w:placeholder>
                      <w:docPart w:val="FA4F7081B94349209A8850030A1980D5"/>
                    </w:placeholder>
                    <w:dataBinding w:prefixMappings="xmlns:ns0='http://schemas.openxmlformats.org/officeDocument/2006/extended-properties'" w:xpath="/ns0:Properties[1]/ns0:Company[1]" w:storeItemID="{6668398D-A668-4E3E-A5EB-62B293D839F1}"/>
                    <w:alias w:val="Società"/>
                    <w:id w:val="13406915"/>
                    <w:text/>
                  </w:sdtPr>
                  <w:sdtContent>
                    <w:r>
                      <w:rPr>
                        <w:b/>
                        <w:bCs/>
                        <w:color w:themeColor="accent1" w:val="4472C4"/>
                        <w:sz w:val="24"/>
                        <w:szCs w:val="24"/>
                      </w:rPr>
                    </w:r>
                    <w:r>
                      <w:rPr>
                        <w:b/>
                        <w:bCs/>
                        <w:color w:themeColor="accent1" w:val="4472C4"/>
                        <w:sz w:val="24"/>
                        <w:szCs w:val="24"/>
                      </w:rPr>
                      <w:t>Riflessioni e proposte scaturite dall’incontro del 24/02/2024                                                 presso il Salone d’Onore della Basilica S. Maria in Cosmedin - Roma</w:t>
                    </w:r>
                  </w:sdtContent>
                </w:sdt>
              </w:p>
            </w:tc>
          </w:tr>
          <w:tr>
            <w:trPr/>
            <w:tc>
              <w:tcPr>
                <w:tcW w:w="8372" w:type="dxa"/>
                <w:tcBorders>
                  <w:left w:val="single" w:sz="12" w:space="0" w:color="4472C4"/>
                </w:tcBorders>
                <w:tcMar>
                  <w:top w:w="0" w:type="dxa"/>
                  <w:left w:w="144" w:type="dxa"/>
                  <w:bottom w:w="0" w:type="dxa"/>
                </w:tcMar>
              </w:tcPr>
              <w:p>
                <w:pPr>
                  <w:pStyle w:val="NoSpacing"/>
                  <w:spacing w:lineRule="auto" w:line="216"/>
                  <w:rPr>
                    <w:rFonts w:ascii="Calibri Light" w:hAnsi="Calibri Light" w:eastAsia="" w:cs="" w:asciiTheme="majorHAnsi" w:cstheme="majorBidi" w:eastAsiaTheme="majorEastAsia" w:hAnsiTheme="majorHAnsi"/>
                    <w:b/>
                    <w:bCs/>
                    <w:color w:themeColor="accent1" w:val="4472C4"/>
                    <w:sz w:val="40"/>
                    <w:szCs w:val="40"/>
                  </w:rPr>
                </w:pPr>
                <w:sdt>
                  <w:sdtPr>
                    <w:placeholder>
                      <w:docPart w:val="86E7D892DB45449DA76DCD25096FF031"/>
                    </w:placeholder>
                    <w:dataBinding w:prefixMappings="xmlns:ns0='http://schemas.openxmlformats.org/package/2006/metadata/core-properties' xmlns:ns1='http://purl.org/dc/elements/1.1/'" w:xpath="/ns0:coreProperties[1]/ns1:title[1]" w:storeItemID="{6C3C8BC8-F283-45AE-878A-BAB7291924A1}"/>
                    <w:alias w:val="Titolo"/>
                    <w:id w:val="13406919"/>
                    <w:text/>
                  </w:sdtPr>
                  <w:sdtContent>
                    <w:r>
                      <w:rPr>
                        <w:b/>
                        <w:bCs/>
                        <w:color w:themeColor="accent1" w:val="4472C4"/>
                        <w:sz w:val="40"/>
                        <w:szCs w:val="40"/>
                      </w:rPr>
                    </w:r>
                    <w:r>
                      <w:rPr>
                        <w:b/>
                        <w:bCs/>
                        <w:color w:themeColor="accent1" w:val="4472C4"/>
                        <w:sz w:val="40"/>
                        <w:szCs w:val="40"/>
                      </w:rPr>
                      <w:t>LE VIE PER FARE LA PACE</w:t>
                    </w:r>
                  </w:sdtContent>
                </w:sdt>
              </w:p>
            </w:tc>
          </w:tr>
          <w:tr>
            <w:trPr/>
            <w:tc>
              <w:tcPr>
                <w:tcW w:w="8372" w:type="dxa"/>
                <w:tcBorders>
                  <w:left w:val="single" w:sz="12" w:space="0" w:color="4472C4"/>
                </w:tcBorders>
              </w:tcPr>
              <w:p>
                <w:pPr>
                  <w:pStyle w:val="NoSpacing"/>
                  <w:rPr>
                    <w:b/>
                    <w:bCs/>
                    <w:color w:themeColor="accent1" w:val="4472C4"/>
                    <w:sz w:val="24"/>
                  </w:rPr>
                </w:pPr>
                <w:sdt>
                  <w:sdtPr>
                    <w:placeholder>
                      <w:docPart w:val="1773586E12FA46EDAEAC09514AC0C7B3"/>
                    </w:placeholder>
                    <w:dataBinding w:prefixMappings="xmlns:ns0='http://schemas.openxmlformats.org/package/2006/metadata/core-properties' xmlns:ns1='http://purl.org/dc/elements/1.1/'" w:xpath="/ns0:coreProperties[1]/ns1:subject[1]" w:storeItemID="{6C3C8BC8-F283-45AE-878A-BAB7291924A1}"/>
                    <w:alias w:val="Sottotitolo"/>
                    <w:id w:val="13406923"/>
                    <w:text/>
                  </w:sdtPr>
                  <w:sdtContent>
                    <w:r>
                      <w:rPr>
                        <w:b/>
                        <w:bCs/>
                        <w:color w:themeColor="accent1" w:val="4472C4"/>
                        <w:sz w:val="24"/>
                        <w:szCs w:val="24"/>
                      </w:rPr>
                    </w:r>
                    <w:r>
                      <w:rPr>
                        <w:b/>
                        <w:bCs/>
                        <w:color w:themeColor="accent1" w:val="4472C4"/>
                        <w:sz w:val="24"/>
                        <w:szCs w:val="24"/>
                      </w:rPr>
                      <w:t>Aprile 2024</w:t>
                    </w:r>
                  </w:sdtContent>
                </w:sdt>
                <w:r>
                  <w:rPr>
                    <w:b/>
                    <w:bCs/>
                    <w:color w:themeColor="accent1" w:val="4472C4"/>
                    <w:sz w:val="24"/>
                    <w:szCs w:val="24"/>
                  </w:rPr>
                  <w:t xml:space="preserve"> – SECONDA BOZZA</w:t>
                </w:r>
              </w:p>
            </w:tc>
          </w:tr>
        </w:tbl>
        <w:p>
          <w:pPr>
            <w:pStyle w:val="Normal"/>
            <w:jc w:val="both"/>
            <w:rPr>
              <w:b/>
              <w:bCs/>
            </w:rPr>
          </w:pPr>
          <w:r>
            <w:rPr>
              <w:b/>
              <w:bCs/>
            </w:rPr>
          </w:r>
        </w:p>
        <w:tbl>
          <w:tblPr>
            <w:tblpPr w:vertAnchor="margin" w:tblpYSpec="bottom" w:horzAnchor="margin" w:tblpXSpec="center" w:leftFromText="187" w:rightFromText="187"/>
            <w:tblW w:w="3850" w:type="pct"/>
            <w:jc w:val="center"/>
            <w:tblInd w:w="0" w:type="dxa"/>
            <w:tblLayout w:type="fixed"/>
            <w:tblCellMar>
              <w:top w:w="216" w:type="dxa"/>
              <w:left w:w="115" w:type="dxa"/>
              <w:bottom w:w="216" w:type="dxa"/>
              <w:right w:w="115" w:type="dxa"/>
            </w:tblCellMar>
            <w:tblLook w:firstRow="1" w:noVBand="1" w:lastRow="0" w:firstColumn="1" w:lastColumn="0" w:noHBand="0" w:val="04a0"/>
          </w:tblPr>
          <w:tblGrid>
            <w:gridCol w:w="8058"/>
          </w:tblGrid>
          <w:tr>
            <w:trPr/>
            <w:tc>
              <w:tcPr>
                <w:tcW w:w="8058" w:type="dxa"/>
                <w:tcBorders/>
              </w:tcPr>
              <w:p>
                <w:pPr>
                  <w:pStyle w:val="NoSpacing"/>
                  <w:rPr>
                    <w:b/>
                    <w:bCs/>
                    <w:color w:themeColor="accent1" w:val="4472C4"/>
                  </w:rPr>
                </w:pPr>
                <w:r>
                  <w:rPr>
                    <w:b/>
                    <w:bCs/>
                    <w:color w:themeColor="accent1" w:val="4472C4"/>
                  </w:rPr>
                </w:r>
              </w:p>
            </w:tc>
          </w:tr>
        </w:tbl>
        <w:p>
          <w:pPr>
            <w:pStyle w:val="Normal"/>
            <w:rPr>
              <w:b/>
              <w:bCs/>
            </w:rPr>
          </w:pPr>
          <w:r>
            <w:rPr>
              <w:b/>
              <w:bCs/>
            </w:rPr>
          </w:r>
        </w:p>
        <w:p>
          <w:pPr>
            <w:pStyle w:val="Normal"/>
            <w:jc w:val="both"/>
            <w:rPr>
              <w:b/>
              <w:bCs/>
            </w:rPr>
          </w:pPr>
          <w:r>
            <w:rPr>
              <w:b/>
              <w:bCs/>
            </w:rPr>
            <w:t>INTRODUZIONE……………………………………………………………………………………………….p.  2</w:t>
          </w:r>
        </w:p>
        <w:p>
          <w:pPr>
            <w:pStyle w:val="Normal"/>
            <w:rPr>
              <w:b/>
              <w:bCs/>
            </w:rPr>
          </w:pPr>
          <w:r>
            <w:rPr>
              <w:b/>
              <w:bCs/>
            </w:rPr>
            <w:t>RIFLESSIONI E PROPOSTE</w:t>
          </w:r>
        </w:p>
        <w:p>
          <w:pPr>
            <w:pStyle w:val="Normal"/>
            <w:rPr>
              <w:b/>
              <w:bCs/>
            </w:rPr>
          </w:pPr>
          <w:r>
            <w:rPr>
              <w:b/>
              <w:bCs/>
            </w:rPr>
            <w:tab/>
          </w:r>
          <w:r>
            <w:rPr>
              <w:b/>
              <w:bCs/>
              <w:color w:val="FF0000"/>
              <w:sz w:val="32"/>
              <w:szCs w:val="32"/>
            </w:rPr>
            <w:t>D</w:t>
          </w:r>
          <w:r>
            <w:rPr>
              <w:b/>
              <w:bCs/>
            </w:rPr>
            <w:t>ialogo interreligioso e interculturale…………………………………………..……p.   3</w:t>
          </w:r>
        </w:p>
        <w:p>
          <w:pPr>
            <w:pStyle w:val="Normal"/>
            <w:rPr>
              <w:b/>
              <w:bCs/>
            </w:rPr>
          </w:pPr>
          <w:r>
            <w:rPr>
              <w:b/>
              <w:bCs/>
            </w:rPr>
            <w:tab/>
          </w:r>
          <w:r>
            <w:rPr>
              <w:b/>
              <w:bCs/>
              <w:color w:val="FF0000"/>
              <w:sz w:val="32"/>
              <w:szCs w:val="32"/>
            </w:rPr>
            <w:t>D</w:t>
          </w:r>
          <w:r>
            <w:rPr>
              <w:b/>
              <w:bCs/>
            </w:rPr>
            <w:t>iplomazia e diritto umanitario internazionale……………………………….…p.    4</w:t>
          </w:r>
        </w:p>
        <w:p>
          <w:pPr>
            <w:pStyle w:val="Normal"/>
            <w:rPr>
              <w:b/>
              <w:bCs/>
            </w:rPr>
          </w:pPr>
          <w:r>
            <w:rPr>
              <w:b/>
              <w:bCs/>
            </w:rPr>
            <w:tab/>
          </w:r>
          <w:r>
            <w:rPr>
              <w:b/>
              <w:bCs/>
              <w:color w:val="FF0000"/>
              <w:sz w:val="32"/>
              <w:szCs w:val="32"/>
            </w:rPr>
            <w:t>D</w:t>
          </w:r>
          <w:r>
            <w:rPr>
              <w:b/>
              <w:bCs/>
            </w:rPr>
            <w:t>iversità………………………………………………………………………………….…………p.    6</w:t>
          </w:r>
        </w:p>
        <w:p>
          <w:pPr>
            <w:pStyle w:val="Normal"/>
            <w:rPr>
              <w:b/>
              <w:bCs/>
            </w:rPr>
          </w:pPr>
          <w:r>
            <w:rPr>
              <w:b/>
              <w:bCs/>
            </w:rPr>
            <w:tab/>
          </w:r>
          <w:r>
            <w:rPr>
              <w:b/>
              <w:bCs/>
              <w:color w:val="FF0000"/>
              <w:sz w:val="32"/>
              <w:szCs w:val="32"/>
            </w:rPr>
            <w:t>D</w:t>
          </w:r>
          <w:r>
            <w:rPr>
              <w:b/>
              <w:bCs/>
            </w:rPr>
            <w:t>ecolonizzare i rapporti internazionali………………………………………… ……p.    7</w:t>
          </w:r>
        </w:p>
        <w:p>
          <w:pPr>
            <w:pStyle w:val="Normal"/>
            <w:rPr>
              <w:b/>
              <w:bCs/>
            </w:rPr>
          </w:pPr>
          <w:r>
            <w:rPr>
              <w:b/>
              <w:bCs/>
            </w:rPr>
            <w:tab/>
          </w:r>
          <w:r>
            <w:rPr>
              <w:b/>
              <w:bCs/>
              <w:color w:val="FF0000"/>
              <w:sz w:val="32"/>
              <w:szCs w:val="32"/>
            </w:rPr>
            <w:t>D</w:t>
          </w:r>
          <w:r>
            <w:rPr>
              <w:b/>
              <w:bCs/>
            </w:rPr>
            <w:t>isarmare la terra e le economie                                                                    p.  10</w:t>
          </w:r>
        </w:p>
        <w:p>
          <w:pPr>
            <w:pStyle w:val="Normal"/>
            <w:rPr>
              <w:b/>
              <w:bCs/>
            </w:rPr>
          </w:pPr>
          <w:r>
            <w:rPr>
              <w:b/>
              <w:bCs/>
            </w:rPr>
            <w:t>Orazio Parisotto  “La rivoluzione globale – per un nuovo umanesimo”.                p.  13</w:t>
          </w:r>
        </w:p>
        <w:p>
          <w:pPr>
            <w:pStyle w:val="Normal"/>
            <w:rPr>
              <w:b/>
              <w:bCs/>
            </w:rPr>
          </w:pPr>
          <w:r>
            <w:drawing>
              <wp:anchor behindDoc="0" distT="0" distB="0" distL="114300" distR="114300" simplePos="0" locked="0" layoutInCell="0" allowOverlap="1" relativeHeight="9">
                <wp:simplePos x="0" y="0"/>
                <wp:positionH relativeFrom="column">
                  <wp:posOffset>1215390</wp:posOffset>
                </wp:positionH>
                <wp:positionV relativeFrom="paragraph">
                  <wp:posOffset>441960</wp:posOffset>
                </wp:positionV>
                <wp:extent cx="3692525" cy="5358765"/>
                <wp:effectExtent l="0" t="0" r="0" b="0"/>
                <wp:wrapTopAndBottom/>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2"/>
                        <a:srcRect l="41400" t="34544" r="40096" b="17841"/>
                        <a:stretch>
                          <a:fillRect/>
                        </a:stretch>
                      </pic:blipFill>
                      <pic:spPr bwMode="auto">
                        <a:xfrm>
                          <a:off x="0" y="0"/>
                          <a:ext cx="3692525" cy="5358765"/>
                        </a:xfrm>
                        <a:prstGeom prst="rect">
                          <a:avLst/>
                        </a:prstGeom>
                      </pic:spPr>
                    </pic:pic>
                  </a:graphicData>
                </a:graphic>
              </wp:anchor>
            </w:drawing>
          </w:r>
          <w:r>
            <w:rPr>
              <w:b/>
              <w:bCs/>
            </w:rPr>
            <w:t>TAVOLA SINOTTICA DELLE AZIONI DA INTRAPRENDERE                                            p.  14</w:t>
          </w:r>
        </w:p>
        <w:p>
          <w:pPr>
            <w:pStyle w:val="Normal"/>
            <w:rPr>
              <w:b/>
              <w:bCs/>
              <w:i/>
              <w:i/>
              <w:iCs/>
              <w:sz w:val="16"/>
              <w:szCs w:val="16"/>
            </w:rPr>
          </w:pPr>
          <w:r>
            <w:rPr>
              <w:b/>
              <w:bCs/>
              <w:i/>
              <w:iCs/>
              <w:sz w:val="16"/>
              <w:szCs w:val="16"/>
            </w:rPr>
            <w:t>A cura di Daniela Belliti e Antonella Trocino</w:t>
          </w:r>
        </w:p>
        <w:p>
          <w:pPr>
            <w:pStyle w:val="Normal"/>
            <w:ind w:left="-142"/>
            <w:jc w:val="both"/>
            <w:rPr>
              <w:b/>
              <w:bCs/>
              <w:i/>
              <w:i/>
              <w:iCs/>
              <w:sz w:val="16"/>
              <w:szCs w:val="16"/>
            </w:rPr>
          </w:pPr>
          <w:r>
            <w:rPr>
              <w:b/>
              <w:bCs/>
              <w:i/>
              <w:iCs/>
              <w:sz w:val="16"/>
              <w:szCs w:val="16"/>
            </w:rPr>
            <w:t>Si ringraziano i relatori, i moderatori e i componenti dei gruppi di lavoro per la condivisione delle idee e il contributo nell’elaborazione dei testi. Si ringraziano altresì Angelo Frezzotti e Claudio Mazzoccoli per il supporto tecnico e le immagini della mattinata, pubblicate su vari siti e al seguente link https://www.youtube.com/watch?v=i5gkeApdUzk</w:t>
          </w:r>
        </w:p>
        <w:p>
          <w:pPr>
            <w:pStyle w:val="Normal"/>
            <w:rPr>
              <w:b/>
              <w:bCs/>
            </w:rPr>
          </w:pPr>
          <w:r>
            <w:rPr>
              <w:b/>
              <w:bCs/>
            </w:rPr>
            <w:t>INTRODUZIONE</w:t>
          </w:r>
        </w:p>
        <w:p>
          <w:pPr>
            <w:pStyle w:val="Normal"/>
            <w:jc w:val="both"/>
            <w:rPr/>
          </w:pPr>
          <w:r>
            <w:rPr/>
            <w:t>La giornata si è articolata in cinque sessioni tematiche che rappresentano le principali direttrici lungo le quali costruire la pace.</w:t>
          </w:r>
        </w:p>
        <w:p>
          <w:pPr>
            <w:pStyle w:val="Normal"/>
            <w:jc w:val="both"/>
            <w:rPr/>
          </w:pPr>
          <w:r>
            <w:rPr>
              <w:b/>
              <w:bCs/>
              <w:color w:val="FF0000"/>
            </w:rPr>
            <w:t>D</w:t>
          </w:r>
          <w:r>
            <w:rPr>
              <w:b/>
              <w:bCs/>
            </w:rPr>
            <w:t>ialogo interreligioso e interculturale</w:t>
          </w:r>
          <w:r>
            <w:rPr/>
            <w:t xml:space="preserve"> - la prima sessione che ha aperto la giornata, rimanda a un passato ricco di cultura che si richiama a quella che nel medioevo gli spagnoli chiamavano “convivencia”. Con tale termine si esprimeva la coesistenza, sotto un unico governo, di cattolici, mussulmani ed ebrei. Come ai tempi di Ruggero II Re i Sicilia, che ha regnato tra il 1130 e il 1154. Le religioni, in passato all’origine di guerre, ora lanciano moniti alle autorità secolari perché si ravvedano rispetto al crimine che è la guerra in sé.</w:t>
          </w:r>
        </w:p>
        <w:p>
          <w:pPr>
            <w:pStyle w:val="Normal"/>
            <w:jc w:val="both"/>
            <w:rPr/>
          </w:pPr>
          <w:r>
            <w:rPr>
              <w:b/>
              <w:bCs/>
              <w:color w:val="FF0000"/>
            </w:rPr>
            <w:t>D</w:t>
          </w:r>
          <w:r>
            <w:rPr>
              <w:b/>
              <w:bCs/>
            </w:rPr>
            <w:t>iplomazia e diritto umanitario internazionale</w:t>
          </w:r>
          <w:r>
            <w:rPr/>
            <w:t xml:space="preserve"> - sembrano ora sospesi e vilipesi, soprattutto alla luce di quello che sta avvenendo a Gaza. Lo dimostra il pronunciamento del 26 gennaio scorso, in cui la Corte Internazionale di Giustizia dell'Aja ha accettato di valutare il ricorso per tentato genocidio, avanzato dal Sud Africa nei confronti di Israele. Israele, dal canto suo, ha completamente ignorato la prescrizione di interrompere con immediatezza le ostilità. Ciò ha delegittimato la Corte, che è il principale organo giudiziario delle Nazioni Unite, ma non detiene alcun potere impositivo. Ennesima riprova di ciò si è recentemente verificato in occasione della Risoluzione n. 2728 del 25 marzo 2024, con cui il Consiglio di Sicurezza ha chiesto alle parti:</w:t>
          </w:r>
        </w:p>
        <w:p>
          <w:pPr>
            <w:pStyle w:val="ListParagraph"/>
            <w:numPr>
              <w:ilvl w:val="0"/>
              <w:numId w:val="4"/>
            </w:numPr>
            <w:jc w:val="both"/>
            <w:rPr>
              <w:lang w:val="it-IT"/>
            </w:rPr>
          </w:pPr>
          <w:r>
            <w:rPr>
              <w:lang w:val="it-IT"/>
            </w:rPr>
            <w:t xml:space="preserve">un immediato cessate il fuoco su Gaza, durante il mese di Ramadan, rispettato da tutte le parti che porti a un cessate il fuoco duraturo e sostenibile; </w:t>
          </w:r>
        </w:p>
        <w:p>
          <w:pPr>
            <w:pStyle w:val="ListParagraph"/>
            <w:numPr>
              <w:ilvl w:val="0"/>
              <w:numId w:val="4"/>
            </w:numPr>
            <w:jc w:val="both"/>
            <w:rPr>
              <w:lang w:val="it-IT"/>
            </w:rPr>
          </w:pPr>
          <w:r>
            <w:rPr>
              <w:lang w:val="it-IT"/>
            </w:rPr>
            <w:t>il rilascio immediato e incondizionato di tutti gli ostaggi, così come l'accesso ai convogli umanitari per soddisfare le esigenze mediche e le altre esigenze umanitarie;</w:t>
          </w:r>
        </w:p>
        <w:p>
          <w:pPr>
            <w:pStyle w:val="ListParagraph"/>
            <w:numPr>
              <w:ilvl w:val="0"/>
              <w:numId w:val="4"/>
            </w:numPr>
            <w:jc w:val="both"/>
            <w:rPr>
              <w:lang w:val="it-IT"/>
            </w:rPr>
          </w:pPr>
          <w:r>
            <w:rPr>
              <w:lang w:val="it-IT"/>
            </w:rPr>
            <w:t>il rispetto degli obblighi di diritto internazionale in relazione a tutte le persone detenute;</w:t>
          </w:r>
        </w:p>
        <w:p>
          <w:pPr>
            <w:pStyle w:val="ListParagraph"/>
            <w:numPr>
              <w:ilvl w:val="0"/>
              <w:numId w:val="4"/>
            </w:numPr>
            <w:jc w:val="both"/>
            <w:rPr>
              <w:lang w:val="it-IT"/>
            </w:rPr>
          </w:pPr>
          <w:r>
            <w:rPr>
              <w:lang w:val="it-IT"/>
            </w:rPr>
            <w:t>l'urgente necessità di espandere il flusso di assistenza umanitaria e di rafforzare la protezione dei civili nell'intera Striscia di Gaza, ribadendo la richiesta di eliminare tutti gli ostacoli alla fornitura di assistenza umanitaria su larga scala, in linea con il diritto umanitario internazionale e con le risoluzioni 2712 (2023) e 2720 (2023).</w:t>
          </w:r>
        </w:p>
        <w:p>
          <w:pPr>
            <w:pStyle w:val="ListParagraph"/>
            <w:jc w:val="both"/>
            <w:rPr>
              <w:lang w:val="it-IT"/>
            </w:rPr>
          </w:pPr>
          <w:r>
            <w:rPr>
              <w:lang w:val="it-IT"/>
            </w:rPr>
          </w:r>
        </w:p>
        <w:p>
          <w:pPr>
            <w:pStyle w:val="Normal"/>
            <w:jc w:val="both"/>
            <w:rPr/>
          </w:pPr>
          <w:r>
            <w:rPr/>
            <w:t xml:space="preserve">Israele ha ignorato tale Risoluzione e nessuna reazione si è registrata nel cosiddetto “Mondo Occidentale”, che era stato, invece, rapidissimo nell’adottare sanzioni contro la Russia, dopo che quest’ultima aveva invaso l’Ucraina. Vige un evidente doppio standard e si afferma una volontà deliberata di esautorare la giurisdizione delle Nazioni Unite, senza la quale, a regolare i rapporti tra gli Stati, resta solo la brutalità della legge del più forte. </w:t>
          </w:r>
        </w:p>
        <w:p>
          <w:pPr>
            <w:pStyle w:val="Normal"/>
            <w:jc w:val="both"/>
            <w:rPr/>
          </w:pPr>
          <w:r>
            <w:rPr>
              <w:b/>
              <w:bCs/>
              <w:color w:val="FF0000"/>
            </w:rPr>
            <w:t>D</w:t>
          </w:r>
          <w:r>
            <w:rPr>
              <w:b/>
              <w:bCs/>
            </w:rPr>
            <w:t xml:space="preserve">iversità </w:t>
          </w:r>
          <w:r>
            <w:rPr/>
            <w:t xml:space="preserve">– poggia sul riconoscimento di una matrice comune tra violenza di genere e violenza </w:t>
          </w:r>
          <w:r>
            <w:rPr>
              <w:i/>
              <w:iCs/>
            </w:rPr>
            <w:t>tout court</w:t>
          </w:r>
          <w:r>
            <w:rPr/>
            <w:t>. Lo sguardo femminista sulle guerre è politicamente rilevante, perché rintraccia l’origine profonda degli istinti che muovono le guerre. Il patriarcato - che le donne hanno subito storicamente e ancora subiscono - si alimenta di questi istinti. Il Coordinamento Nazionale Ecofemminista in un recente appello</w:t>
          </w:r>
          <w:r>
            <w:rPr>
              <w:rStyle w:val="FootnoteReference"/>
            </w:rPr>
            <w:footnoteReference w:id="2"/>
          </w:r>
          <w:r>
            <w:rPr/>
            <w:t>, così si esprime: “Noi ecofemmministe facciamo quindi appello ai leader nazionali ed europei, che finora non hanno attuato strategie efficaci nel por fine ai conflitti in corso, di non rimanere più impassibili a fronte di stragi di soldati e di civili e a devastazioni di città e territori. Occorrono quanto prima proposte convincenti di negoziazione. Smettiamo di affidare le sorti di interi popoli all’esito ottenuto attraverso l'uso massiccio di armi.”</w:t>
          </w:r>
        </w:p>
        <w:p>
          <w:pPr>
            <w:pStyle w:val="Normal"/>
            <w:jc w:val="both"/>
            <w:rPr/>
          </w:pPr>
          <w:r>
            <w:rPr>
              <w:b/>
              <w:bCs/>
              <w:color w:val="FF0000"/>
            </w:rPr>
            <w:t>D</w:t>
          </w:r>
          <w:r>
            <w:rPr>
              <w:b/>
              <w:bCs/>
            </w:rPr>
            <w:t>ecolonizzare i rapporti internazionali</w:t>
          </w:r>
          <w:r>
            <w:rPr/>
            <w:t xml:space="preserve"> – significa esplorare le connessioni inscindibili tra guerre e ingiustizie, tra guerre e flussi migratori, tra guerre e diritti delle minoranze calpestati. Nel disinnescare questi binomi tossici stanno sicuramente alcune vie per fare la pace. Storicamente il colonialismo e l’idea della superiorità dell’Occidente sul resto del mondo ha prodotto sfruttamento e sterminio di popoli. Ancora nel presente, molti conflitti hanno una matrice neo-coloniale: mentre i capitali sono liberi di circolare, le persone provenienti dal Sud globale subiscono militarizzazione dei confini, limitazioni dei diritti fondamentali e respingimenti. </w:t>
          </w:r>
        </w:p>
        <w:p>
          <w:pPr>
            <w:pStyle w:val="Normal"/>
            <w:jc w:val="both"/>
            <w:rPr/>
          </w:pPr>
          <w:r>
            <w:rPr>
              <w:b/>
              <w:bCs/>
              <w:color w:val="FF0000"/>
            </w:rPr>
            <w:t>D</w:t>
          </w:r>
          <w:r>
            <w:rPr>
              <w:b/>
              <w:bCs/>
            </w:rPr>
            <w:t>isarmare la terra e le economie</w:t>
          </w:r>
          <w:r>
            <w:rPr/>
            <w:t xml:space="preserve"> - analizza gli impatti devastanti delle guerre sull’ambiente e sull’economia. Nei primi 4 mesi dell’aggressione militare a Gaza, da parte dell’esercito israeliano sono stati prodotti 4 milioni di tonnellate di Co</w:t>
          </w:r>
          <w:r>
            <w:rPr>
              <w:vertAlign w:val="subscript"/>
            </w:rPr>
            <w:t>2</w:t>
          </w:r>
          <w:r>
            <w:rPr/>
            <w:t>, una cifra pari a quanto si produce in due anni in un Paese grande come il Niger, senza considerare l’impatto ecologico della ricostruzione. Pur nell’incompletezza delle stime, alcuni ricercatori hanno scoperto che le forze armate sono responsabili di quasi il 5,5% delle emissioni globali</w:t>
          </w:r>
          <w:r>
            <w:rPr>
              <w:rStyle w:val="FootnoteReference"/>
            </w:rPr>
            <w:footnoteReference w:id="3"/>
          </w:r>
          <w:r>
            <w:rPr/>
            <w:t>. Se è impossibile tenere una terribile contabilità delle perdite di vite umane e del loro valore, si possono stimare gli effetti delle guerre sulle economie. Dall’analisi di 150 anni di storia e di 176 grandi guerre nel mondo, emerge che nei Paesi teatri di guerra il Pil reale si è contratto mediamente del 30%, mentre l’inflazione è aumentata del 15%</w:t>
          </w:r>
          <w:r>
            <w:rPr>
              <w:rStyle w:val="FootnoteReference"/>
            </w:rPr>
            <w:footnoteReference w:id="4"/>
          </w:r>
          <w:r>
            <w:rPr/>
            <w:t>. E sappiamo che a pagare le maggiori conseguenze di queste recessioni sono proprio gli strati più poveri della popolazione.</w:t>
          </w:r>
        </w:p>
        <w:p>
          <w:pPr>
            <w:pStyle w:val="Normal"/>
            <w:jc w:val="both"/>
            <w:rPr/>
          </w:pPr>
          <w:r>
            <w:rPr/>
            <w:t xml:space="preserve">Le élite usano il proprio potere per persuaderci dell’ineluttabilità delle guerre. Guerre che loro non sono in grado né di prevenire, né di far cessare, imponendoci incubi e la prospettiva di un futuro distopico. Luigi De Giacomo, fondatore dei Costruttori di Pace, ci ha trasmesso l’urgenza di affrontare </w:t>
          </w:r>
          <w:r>
            <w:rPr>
              <w:b/>
              <w:bCs/>
            </w:rPr>
            <w:t>la fine delle guerre e il loro ripudio, come primo bene comune fondamentale. Il ripudio della guerra è prioritario su tutto</w:t>
          </w:r>
          <w:r>
            <w:rPr/>
            <w:t xml:space="preserve">. E’ la speranza che può farsi forza anticipatrice di ciò che ancora non c’è, ma che può venire, non dalle </w:t>
          </w:r>
          <w:r>
            <w:rPr>
              <w:i/>
              <w:iCs/>
            </w:rPr>
            <w:t>élites</w:t>
          </w:r>
          <w:r>
            <w:rPr/>
            <w:t>, ma dall’intelligenza collettiva della società civile, soprattutto quando riesce a organizzarsi e a convergere.</w:t>
          </w:r>
        </w:p>
        <w:p>
          <w:pPr>
            <w:pStyle w:val="Normal"/>
            <w:jc w:val="both"/>
            <w:rPr/>
          </w:pPr>
          <w:r>
            <w:rPr/>
            <w:t>Prima di passare alle considerazioni dei relatori e alle proposte di ciascuna delle sessioni, vogliamo citare un passaggio tratto da una lettera del 5 gennaio 1896 di Lev Tolstoj: “La salvezza dell’Europa, di tutto il mondo cristiano, non si ottiene imbracciando le armi come i briganti, come nel quadro di Guglielmo II, non si ottiene attraversando i mari per uccidere i nostri fratelli, ma al contrario gettando via quel retaggio di vecchie barbarie che è il patriottismo. E dopo avervi rinunciato con il disarmo, saremo per le nazioni orientali un esempio: non di patriottismo selvaggio e di ferocia, ma di vita fraterna, quella che ci è stata insegnata da Cristo.”</w:t>
          </w:r>
        </w:p>
        <w:p>
          <w:pPr>
            <w:pStyle w:val="Normal"/>
            <w:rPr/>
          </w:pPr>
          <w:r>
            <w:rPr/>
          </w:r>
        </w:p>
        <w:p>
          <w:pPr>
            <w:pStyle w:val="Normal"/>
            <w:rPr>
              <w:b/>
              <w:bCs/>
            </w:rPr>
          </w:pPr>
          <w:r>
            <w:rPr>
              <w:b/>
              <w:bCs/>
            </w:rPr>
            <w:t>RIFLESSIONI E PROPOSTE</w:t>
          </w:r>
        </w:p>
        <w:p>
          <w:pPr>
            <w:pStyle w:val="Normal"/>
            <w:spacing w:lineRule="auto" w:line="240" w:before="0" w:after="0"/>
            <w:rPr>
              <w:b/>
              <w:bCs/>
            </w:rPr>
          </w:pPr>
          <w:r>
            <w:rPr>
              <w:b/>
              <w:bCs/>
              <w:color w:val="FF0000"/>
              <w:sz w:val="32"/>
              <w:szCs w:val="32"/>
            </w:rPr>
            <w:t>D</w:t>
          </w:r>
          <w:r>
            <w:rPr>
              <w:b/>
              <w:bCs/>
            </w:rPr>
            <w:t xml:space="preserve">ialogo interreligioso e interreligioso </w:t>
          </w:r>
        </w:p>
        <w:p>
          <w:pPr>
            <w:pStyle w:val="Normal"/>
            <w:spacing w:lineRule="auto" w:line="240" w:before="0" w:after="0"/>
            <w:jc w:val="both"/>
            <w:rPr/>
          </w:pPr>
          <w:r>
            <w:rPr/>
            <w:t xml:space="preserve">Motivati dal desiderio di trovare le Vie per fare la Pace, per l’urgenza di rivendicare un cessate il fuoco ovunque nel mondo, con particolare riguardo al crocevia di religioni che è la Terra Santa, molteplici associazioni si sono riunite il 24 febbraio 2024 nel complesso della Basilica di Santa Maria in Cosmedin. Per educare alla pace c’è bisogno di verità e il luogo simbolico dell’adunanza fa ritenere di essere nel posto giusto. In un momento storico inaudito "mettere un freno ai milioni di tonnellate di bombe in grado di vanificare ogni obiettivo dichiarato di sostenibilità ambientale" (A.Trocino), è prioritario. La gravità della situazione, in cui </w:t>
          </w:r>
          <w:r>
            <w:rPr>
              <w:b/>
              <w:bCs/>
            </w:rPr>
            <w:t>le voci che “disarmano il pensiero” (J.Dotti) sono messe al bando dall’informazione mainstream</w:t>
          </w:r>
          <w:r>
            <w:rPr/>
            <w:t>, impone la diffusione di quelle idee di pace relegate ad ambiti ritenuti fuori dal mondo, per squalificare i convincimenti che hanno portato le Nazioni alle dichiarazioni dei diritti dell’uomo, dopo i due conflitti mondiali, nell'intento di scongiurare nuove guerre. Piuttosto che operare per la pace si usa un “</w:t>
          </w:r>
          <w:r>
            <w:rPr>
              <w:b/>
              <w:bCs/>
            </w:rPr>
            <w:t>linguaggio de-umanizzante che delegittima il diritto di esistere dell’altro” (F. Zavattaro)</w:t>
          </w:r>
          <w:r>
            <w:rPr/>
            <w:t xml:space="preserve">. “Quando </w:t>
          </w:r>
          <w:r>
            <w:rPr>
              <w:b/>
              <w:bCs/>
            </w:rPr>
            <w:t>la prima vittima della guerra è la verità</w:t>
          </w:r>
          <w:r>
            <w:rPr/>
            <w:t xml:space="preserve"> è fondamentale l’opera dei messaggeri di pace, guide fedeli, angeli custodi della carità e dell’amicizia” (Patriarca </w:t>
          </w:r>
          <w:r>
            <w:rPr>
              <w:b/>
              <w:bCs/>
            </w:rPr>
            <w:t>Archimandrita Chihade Abboud</w:t>
          </w:r>
          <w:r>
            <w:rPr/>
            <w:t>). Per costruire la pace non si può prescindere dal “dialogo che è luce che viene da Cristo e richiede coraggio” (Cardinale P. Pizzaballa). I testi sacri che indicano la via, la Bibbia come il Corano, illuminano le menti e alimentano il cuore per una umana convivenza contro la barbarie. “</w:t>
          </w:r>
          <w:r>
            <w:rPr>
              <w:b/>
              <w:bCs/>
            </w:rPr>
            <w:t>Nutrire la pace si può nelle tre dimensioni interconnesse tra loro della contemplazione, del diritto e della ricerca della verità</w:t>
          </w:r>
          <w:r>
            <w:rPr/>
            <w:t>, per costruire un mondo dove l’obiettivo sia il bene comune non la forza del potere” (</w:t>
          </w:r>
          <w:r>
            <w:rPr>
              <w:b/>
              <w:bCs/>
            </w:rPr>
            <w:t>Imam Yahya Pallavicini</w:t>
          </w:r>
          <w:r>
            <w:rPr/>
            <w:t>).</w:t>
          </w:r>
        </w:p>
        <w:p>
          <w:pPr>
            <w:pStyle w:val="Normal"/>
            <w:spacing w:lineRule="auto" w:line="240" w:before="0" w:after="0"/>
            <w:jc w:val="both"/>
            <w:rPr/>
          </w:pPr>
          <w:r>
            <w:rPr/>
          </w:r>
        </w:p>
        <w:p>
          <w:pPr>
            <w:pStyle w:val="Normal"/>
            <w:spacing w:lineRule="auto" w:line="240" w:before="0" w:after="0"/>
            <w:jc w:val="both"/>
            <w:rPr>
              <w:b/>
              <w:bCs/>
            </w:rPr>
          </w:pPr>
          <w:r>
            <w:rPr>
              <w:b/>
              <w:bCs/>
            </w:rPr>
            <w:t>Di seguito le proposte d’iniziative prodotte dal gruppo di lavoro</w:t>
          </w:r>
          <w:r>
            <w:rPr>
              <w:rStyle w:val="FootnoteReference"/>
              <w:b/>
              <w:bCs/>
            </w:rPr>
            <w:footnoteReference w:id="5"/>
          </w:r>
          <w:r>
            <w:rPr>
              <w:b/>
              <w:bCs/>
            </w:rPr>
            <w:t xml:space="preserve"> “Dialogo interreligioso e interculturale”:</w:t>
          </w:r>
        </w:p>
        <w:p>
          <w:pPr>
            <w:pStyle w:val="Normal"/>
            <w:spacing w:lineRule="auto" w:line="240" w:before="0" w:after="0"/>
            <w:ind w:hanging="425" w:left="709"/>
            <w:jc w:val="both"/>
            <w:rPr/>
          </w:pPr>
          <w:r>
            <w:rPr>
              <w:b/>
              <w:bCs/>
            </w:rPr>
            <w:t>1.1)</w:t>
            <w:tab/>
            <w:t xml:space="preserve">“Paracivitate” - </w:t>
          </w:r>
          <w:r>
            <w:rPr/>
            <w:t>metodi ludico partecipativi per dialogare in cammino e civilizzare gli spazi del conflitto, attraversandoli.</w:t>
          </w:r>
        </w:p>
        <w:p>
          <w:pPr>
            <w:pStyle w:val="Normal"/>
            <w:spacing w:lineRule="auto" w:line="240" w:before="0" w:after="0"/>
            <w:ind w:hanging="425" w:left="709"/>
            <w:jc w:val="both"/>
            <w:rPr/>
          </w:pPr>
          <w:r>
            <w:rPr>
              <w:b/>
              <w:bCs/>
            </w:rPr>
            <w:t>1.2)</w:t>
            <w:tab/>
            <w:t xml:space="preserve">Legami - </w:t>
          </w:r>
          <w:r>
            <w:rPr/>
            <w:t>religione significa legarsi ai principi fondanti. Visualizziamo con diversi fili le diverse appartenenze religiose.</w:t>
          </w:r>
        </w:p>
        <w:p>
          <w:pPr>
            <w:pStyle w:val="Normal"/>
            <w:spacing w:lineRule="auto" w:line="240" w:before="0" w:after="0"/>
            <w:ind w:hanging="425" w:left="709"/>
            <w:jc w:val="both"/>
            <w:rPr>
              <w:b/>
              <w:bCs/>
            </w:rPr>
          </w:pPr>
          <w:r>
            <w:rPr>
              <w:b/>
              <w:bCs/>
            </w:rPr>
            <w:t>1.3)</w:t>
            <w:tab/>
            <w:t>Contest artistico e convivio –</w:t>
          </w:r>
          <w:r>
            <w:rPr/>
            <w:t>Nell’ambito di una residenza artistica, lancio di un contest/concorso di idee su performance e installazioni, ispirate ad alcune parole chiave come perdono, giustizia e pace, interpretate anche attraverso l'ottica interreligiosa. Happening a cui seguirà un convivio con cibi interculturali.</w:t>
          </w:r>
        </w:p>
        <w:p>
          <w:pPr>
            <w:pStyle w:val="Normal"/>
            <w:spacing w:lineRule="auto" w:line="240" w:before="0" w:after="0"/>
            <w:ind w:hanging="425" w:left="709"/>
            <w:jc w:val="both"/>
            <w:rPr/>
          </w:pPr>
          <w:r>
            <w:rPr>
              <w:b/>
              <w:bCs/>
            </w:rPr>
            <w:t>1.4)</w:t>
            <w:tab/>
            <w:t xml:space="preserve">Liturgia interreligiosa – </w:t>
          </w:r>
          <w:r>
            <w:rPr/>
            <w:t>Comunione tra diverse liturgie, concelebrando in un luogo coperto, aperto, inclusivo, in modo da sperimentare nuovi linguaggi evocativi di un futuro comune, per appagare il bisogno spirituale, facendo esperienza di conoscenza reciproca.</w:t>
          </w:r>
        </w:p>
        <w:p>
          <w:pPr>
            <w:pStyle w:val="Normal"/>
            <w:jc w:val="center"/>
            <w:rPr>
              <w:b/>
              <w:bCs/>
            </w:rPr>
          </w:pPr>
          <w:r>
            <w:drawing>
              <wp:anchor behindDoc="0" distT="0" distB="0" distL="114300" distR="114300" simplePos="0" locked="0" layoutInCell="0" allowOverlap="1" relativeHeight="8">
                <wp:simplePos x="0" y="0"/>
                <wp:positionH relativeFrom="column">
                  <wp:posOffset>2174240</wp:posOffset>
                </wp:positionH>
                <wp:positionV relativeFrom="paragraph">
                  <wp:posOffset>313690</wp:posOffset>
                </wp:positionV>
                <wp:extent cx="2546985" cy="1671955"/>
                <wp:effectExtent l="0" t="0" r="0" b="0"/>
                <wp:wrapTopAndBottom/>
                <wp:docPr id="2"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descr=""/>
                        <pic:cNvPicPr>
                          <a:picLocks noChangeAspect="1" noChangeArrowheads="1"/>
                        </pic:cNvPicPr>
                      </pic:nvPicPr>
                      <pic:blipFill>
                        <a:blip r:embed="rId3"/>
                        <a:srcRect l="0" t="12138" r="0" b="38472"/>
                        <a:stretch>
                          <a:fillRect/>
                        </a:stretch>
                      </pic:blipFill>
                      <pic:spPr bwMode="auto">
                        <a:xfrm>
                          <a:off x="0" y="0"/>
                          <a:ext cx="2546985" cy="1671955"/>
                        </a:xfrm>
                        <a:prstGeom prst="rect">
                          <a:avLst/>
                        </a:prstGeom>
                      </pic:spPr>
                    </pic:pic>
                  </a:graphicData>
                </a:graphic>
              </wp:anchor>
            </w:drawing>
          </w:r>
          <w:r>
            <w:rPr>
              <w:b/>
              <w:bCs/>
            </w:rPr>
            <w:t>NUVOLA DI PAROLE CHIAVE</w:t>
          </w:r>
        </w:p>
        <w:p>
          <w:pPr>
            <w:pStyle w:val="Normal"/>
            <w:jc w:val="both"/>
            <w:rPr>
              <w:b/>
              <w:bCs/>
            </w:rPr>
          </w:pPr>
          <w:r>
            <w:rPr>
              <w:b/>
              <w:bCs/>
            </w:rPr>
          </w:r>
        </w:p>
        <w:p>
          <w:pPr>
            <w:pStyle w:val="Normal"/>
            <w:jc w:val="both"/>
            <w:rPr>
              <w:rFonts w:ascii="Calibri" w:hAnsi="Calibri" w:eastAsia="Times New Roman" w:cs="Calibri"/>
              <w:b/>
              <w:bCs/>
              <w:color w:val="222222"/>
              <w:shd w:fill="FFFFFF" w:val="clear"/>
              <w:lang w:eastAsia="en-GB"/>
            </w:rPr>
          </w:pPr>
          <w:r>
            <w:rPr>
              <w:b/>
              <w:bCs/>
              <w:color w:val="FF0000"/>
              <w:sz w:val="32"/>
              <w:szCs w:val="32"/>
            </w:rPr>
            <w:t>D</w:t>
          </w:r>
          <w:r>
            <w:rPr>
              <w:b/>
              <w:bCs/>
            </w:rPr>
            <w:t>iplomazia e diritto umanitario internazionale</w:t>
          </w:r>
          <w:r>
            <w:rPr>
              <w:rStyle w:val="FootnoteReference"/>
              <w:b/>
              <w:bCs/>
            </w:rPr>
            <w:footnoteReference w:id="6"/>
          </w:r>
        </w:p>
        <w:p>
          <w:pPr>
            <w:pStyle w:val="Normal"/>
            <w:shd w:val="clear" w:color="auto" w:fill="FFFFFF"/>
            <w:spacing w:before="0" w:after="0"/>
            <w:jc w:val="both"/>
            <w:rPr>
              <w:rFonts w:eastAsia="Times New Roman" w:cs="Calibri" w:cstheme="minorHAnsi"/>
              <w:color w:val="222222"/>
              <w:lang w:eastAsia="en-GB"/>
            </w:rPr>
          </w:pPr>
          <w:r>
            <w:rPr>
              <w:rFonts w:eastAsia="Times New Roman" w:cs="Calibri" w:cstheme="minorHAnsi"/>
              <w:color w:val="222222"/>
              <w:lang w:eastAsia="en-GB"/>
            </w:rPr>
            <w:t>E’</w:t>
          </w:r>
          <w:r>
            <w:rPr>
              <w:rFonts w:eastAsia="Times New Roman" w:cs="Calibri" w:cstheme="minorHAnsi"/>
              <w:color w:val="000000"/>
              <w:lang w:eastAsia="en-GB"/>
            </w:rPr>
            <w:t xml:space="preserve"> intervenuto il </w:t>
          </w:r>
          <w:r>
            <w:rPr>
              <w:rFonts w:eastAsia="Times New Roman" w:cs="Calibri" w:cstheme="minorHAnsi"/>
              <w:b/>
              <w:bCs/>
              <w:color w:val="000000"/>
              <w:lang w:eastAsia="en-GB"/>
            </w:rPr>
            <w:t>Direttore Generale di Medici senza Frontiere dr. Stefano Di Carlo</w:t>
          </w:r>
          <w:r>
            <w:rPr>
              <w:rFonts w:eastAsia="Times New Roman" w:cs="Calibri" w:cstheme="minorHAnsi"/>
              <w:color w:val="000000"/>
              <w:lang w:eastAsia="en-GB"/>
            </w:rPr>
            <w:t xml:space="preserve"> che ha spiegato cosa significhi per il personale di un’organizzazione umanitaria lavorare in contesti di guerra per portare aiuti alla popolazione civile. Ha sottolineato come il problema principale sia legato alla sicurezza e dipenda dalle garanzie fornite dalle parti belligeranti, che vanno convinte che la presenza di un’organizzazione umanitaria non è un pericolo e il relativo personale non svolge attività spionistiche. Il Dott. Di Carlo ha concluso il suo intervento constatando </w:t>
          </w:r>
          <w:r>
            <w:rPr>
              <w:rFonts w:eastAsia="Times New Roman" w:cs="Calibri" w:cstheme="minorHAnsi"/>
              <w:b/>
              <w:bCs/>
              <w:color w:val="000000"/>
              <w:lang w:eastAsia="en-GB"/>
            </w:rPr>
            <w:t>che le “regole della guerra” sono spesso violate e il diritto umanitario è sostanzialmente disapplicato, come è accaduto recentemente a Gaza</w:t>
          </w:r>
          <w:r>
            <w:rPr>
              <w:rFonts w:eastAsia="Times New Roman" w:cs="Calibri" w:cstheme="minorHAnsi"/>
              <w:color w:val="000000"/>
              <w:lang w:eastAsia="en-GB"/>
            </w:rPr>
            <w:t>, dove un rifugio con la bandiera di MSF è stato deliberatamente attaccato con conseguenti morti e feriti.</w:t>
          </w:r>
        </w:p>
        <w:p>
          <w:pPr>
            <w:pStyle w:val="Normal"/>
            <w:spacing w:before="0" w:after="0"/>
            <w:jc w:val="both"/>
            <w:rPr>
              <w:rFonts w:eastAsia="Times New Roman" w:cs="Calibri" w:cstheme="minorHAnsi"/>
              <w:b/>
              <w:bCs/>
              <w:iCs/>
              <w:color w:val="222222"/>
              <w:lang w:eastAsia="en-GB"/>
            </w:rPr>
          </w:pPr>
          <w:r>
            <w:rPr>
              <w:rFonts w:eastAsia="Times New Roman" w:cs="Calibri" w:cstheme="minorHAnsi"/>
              <w:color w:val="222222"/>
              <w:shd w:fill="FFFFFF" w:val="clear"/>
              <w:lang w:eastAsia="en-GB"/>
            </w:rPr>
            <w:t>E’ poi</w:t>
          </w:r>
          <w:r>
            <w:rPr>
              <w:rFonts w:eastAsia="Times New Roman" w:cs="Calibri" w:cstheme="minorHAnsi"/>
              <w:iCs/>
              <w:color w:val="222222"/>
              <w:lang w:eastAsia="en-GB"/>
            </w:rPr>
            <w:t xml:space="preserve"> intervenuta da remoto, </w:t>
          </w:r>
          <w:r>
            <w:rPr>
              <w:rFonts w:eastAsia="Times New Roman" w:cs="Calibri"/>
              <w:iCs/>
              <w:color w:val="222222"/>
              <w:lang w:eastAsia="en-GB"/>
            </w:rPr>
            <w:t>l’</w:t>
          </w:r>
          <w:r>
            <w:rPr>
              <w:rFonts w:eastAsia="Times New Roman" w:cs="Calibri"/>
              <w:b/>
              <w:bCs/>
              <w:iCs/>
              <w:color w:val="222222"/>
              <w:lang w:eastAsia="en-GB"/>
            </w:rPr>
            <w:t>Ambasciatrice Elena Basile</w:t>
          </w:r>
          <w:r>
            <w:rPr>
              <w:rFonts w:eastAsia="Times New Roman" w:cs="Calibri"/>
              <w:iCs/>
              <w:color w:val="222222"/>
              <w:lang w:eastAsia="en-GB"/>
            </w:rPr>
            <w:t xml:space="preserve">, la quale ha osservato che nella grave situazione attuale, in cui </w:t>
          </w:r>
          <w:r>
            <w:rPr>
              <w:rFonts w:eastAsia="Times New Roman" w:cs="Calibri"/>
              <w:b/>
              <w:bCs/>
              <w:iCs/>
              <w:color w:val="222222"/>
              <w:lang w:eastAsia="en-GB"/>
            </w:rPr>
            <w:t>le guerre si fanno sempre più “vicine”, la società civile mostra un livello di consapevolezza nettamente superiore a quello delle classi dirigenti</w:t>
          </w:r>
          <w:r>
            <w:rPr>
              <w:rFonts w:eastAsia="Times New Roman" w:cs="Calibri"/>
              <w:iCs/>
              <w:color w:val="222222"/>
              <w:lang w:eastAsia="en-GB"/>
            </w:rPr>
            <w:t xml:space="preserve">. Ha, inoltre, sottolineato come l’Europa sia coinvolta in una guerra contro una potenza nucleare qual è la Russia e, per la prima volta - come mai accaduto durante la guerra fredda - l’Occidente non esclude la partecipazione di truppe NATO in un conflitto diretto contro Mosca in Europa. Ha, infine, invocato l’impegno della società civile ad opporsi, con ogni mezzo possibile, alla rischiosissima scommessa delle classi dirigenti di condurre </w:t>
          </w:r>
          <w:r>
            <w:rPr>
              <w:rFonts w:eastAsia="Times New Roman" w:cs="Calibri"/>
              <w:b/>
              <w:bCs/>
              <w:iCs/>
              <w:color w:val="222222"/>
              <w:lang w:eastAsia="en-GB"/>
            </w:rPr>
            <w:t>guerre a bassa intensità, che evidentemente possono sempre sfuggire di mano.</w:t>
          </w:r>
        </w:p>
        <w:p>
          <w:pPr>
            <w:pStyle w:val="Normal"/>
            <w:spacing w:before="0" w:after="0"/>
            <w:jc w:val="both"/>
            <w:rPr>
              <w:rFonts w:eastAsia="Times New Roman" w:cs="Calibri" w:cstheme="minorHAnsi"/>
              <w:b/>
              <w:bCs/>
              <w:color w:val="0D0D0D"/>
              <w:shd w:fill="FFFFFF" w:val="clear"/>
              <w:lang w:eastAsia="en-GB"/>
            </w:rPr>
          </w:pPr>
          <w:r>
            <w:rPr>
              <w:rFonts w:eastAsia="Times New Roman" w:cs="Calibri" w:cstheme="minorHAnsi"/>
              <w:b/>
              <w:bCs/>
              <w:color w:val="0D0D0D"/>
              <w:shd w:fill="FFFFFF" w:val="clear"/>
              <w:lang w:eastAsia="en-GB"/>
            </w:rPr>
            <w:t>Nel pomeriggio, il gruppo di lavoro</w:t>
          </w:r>
          <w:r>
            <w:rPr>
              <w:rStyle w:val="FootnoteReference"/>
              <w:rFonts w:eastAsia="Times New Roman" w:cs="Calibri" w:cstheme="minorHAnsi"/>
              <w:b/>
              <w:bCs/>
              <w:color w:val="0D0D0D"/>
              <w:shd w:fill="FFFFFF" w:val="clear"/>
              <w:lang w:eastAsia="en-GB"/>
            </w:rPr>
            <w:footnoteReference w:id="7"/>
          </w:r>
          <w:r>
            <w:rPr>
              <w:rFonts w:eastAsia="Times New Roman" w:cs="Calibri" w:cstheme="minorHAnsi"/>
              <w:b/>
              <w:bCs/>
              <w:color w:val="0D0D0D"/>
              <w:shd w:fill="FFFFFF" w:val="clear"/>
              <w:lang w:eastAsia="en-GB"/>
            </w:rPr>
            <w:t xml:space="preserve">, si è riunito per discutere proposte innovative e concrete, tese a rafforzare la cooperazione globale e riformare le strutture internazionali esistenti, con il fine ultimo di costruire “vie che conducano alla pace”. </w:t>
          </w:r>
          <w:r>
            <w:rPr>
              <w:rFonts w:eastAsia="Times New Roman" w:cs="Calibri" w:cstheme="minorHAnsi"/>
              <w:color w:val="0D0D0D"/>
              <w:shd w:fill="FFFFFF" w:val="clear"/>
              <w:lang w:eastAsia="en-GB"/>
            </w:rPr>
            <w:t>Tra gli argomenti trattati figurano la riforma dell'ONU, l'introduzione di meccanismi legali per proteggere l'ambiente, la promozione di una maggiore inclusione civile nelle questioni internazionali e un approccio collaborativo alle sfide globali</w:t>
          </w:r>
          <w:r>
            <w:rPr>
              <w:rFonts w:eastAsia="Times New Roman" w:cs="Calibri" w:cstheme="minorHAnsi"/>
              <w:b/>
              <w:bCs/>
              <w:color w:val="0D0D0D"/>
              <w:shd w:fill="FFFFFF" w:val="clear"/>
              <w:lang w:eastAsia="en-GB"/>
            </w:rPr>
            <w:t xml:space="preserve">. </w:t>
          </w:r>
        </w:p>
        <w:p>
          <w:pPr>
            <w:pStyle w:val="Normal"/>
            <w:spacing w:before="0" w:after="0"/>
            <w:jc w:val="both"/>
            <w:rPr>
              <w:rFonts w:eastAsia="Times New Roman" w:cs="Calibri" w:cstheme="minorHAnsi"/>
              <w:b/>
              <w:bCs/>
              <w:color w:val="0D0D0D"/>
              <w:shd w:fill="FFFFFF" w:val="clear"/>
              <w:lang w:eastAsia="en-GB"/>
            </w:rPr>
          </w:pPr>
          <w:r>
            <w:rPr>
              <w:rFonts w:eastAsia="Times New Roman" w:cs="Calibri" w:cstheme="minorHAnsi"/>
              <w:b/>
              <w:bCs/>
              <w:color w:val="0D0D0D"/>
              <w:shd w:fill="FFFFFF" w:val="clear"/>
              <w:lang w:eastAsia="en-GB"/>
            </w:rPr>
            <w:t>Segue la sintesi delle proposte emerse dalla discussione.</w:t>
          </w:r>
        </w:p>
        <w:p>
          <w:pPr>
            <w:pStyle w:val="ListParagraph"/>
            <w:ind w:hanging="436" w:left="851"/>
            <w:jc w:val="both"/>
            <w:rPr>
              <w:rFonts w:cs="Calibri" w:cstheme="minorHAnsi"/>
              <w:b/>
              <w:bCs/>
              <w:lang w:val="it-IT"/>
            </w:rPr>
          </w:pPr>
          <w:r>
            <w:rPr>
              <w:rFonts w:cs="Calibri" w:cstheme="minorHAnsi"/>
              <w:b/>
              <w:bCs/>
              <w:lang w:val="it-IT"/>
            </w:rPr>
            <w:t>2.1</w:t>
            <w:tab/>
            <w:t xml:space="preserve">Il principio guida dell’attività diplomatica dovrebbe essere, oltre alle tradizionali relazioni bilaterali e multilaterali, la cooperazione e non la competizione. </w:t>
          </w:r>
          <w:r>
            <w:rPr>
              <w:rFonts w:cs="Calibri" w:cstheme="minorHAnsi"/>
              <w:lang w:val="it-IT"/>
            </w:rPr>
            <w:t xml:space="preserve">Questo dovrebbe essere anche il principio guida di </w:t>
          </w:r>
          <w:r>
            <w:rPr>
              <w:rFonts w:cs="Calibri" w:cstheme="minorHAnsi"/>
              <w:b/>
              <w:bCs/>
              <w:lang w:val="it-IT"/>
            </w:rPr>
            <w:t>un’Europa politica che si ispiri al Manifesto di Ventotene</w:t>
          </w:r>
          <w:r>
            <w:rPr>
              <w:rFonts w:cs="Calibri" w:cstheme="minorHAnsi"/>
              <w:lang w:val="it-IT"/>
            </w:rPr>
            <w:t xml:space="preserve"> e che legittimi un proprio ruolo geopolitico autonomo dell’Europa, evitando i doppi standard.</w:t>
          </w:r>
        </w:p>
        <w:p>
          <w:pPr>
            <w:pStyle w:val="ListParagraph"/>
            <w:numPr>
              <w:ilvl w:val="1"/>
              <w:numId w:val="2"/>
            </w:numPr>
            <w:jc w:val="both"/>
            <w:rPr>
              <w:rFonts w:cs="Calibri" w:cstheme="minorHAnsi"/>
              <w:b/>
              <w:bCs/>
              <w:lang w:val="it-IT"/>
            </w:rPr>
          </w:pPr>
          <w:r>
            <w:rPr>
              <w:rFonts w:cs="Calibri" w:cstheme="minorHAnsi"/>
              <w:b/>
              <w:bCs/>
              <w:lang w:val="it-IT"/>
            </w:rPr>
            <w:t xml:space="preserve">Il diritto internazionale </w:t>
          </w:r>
          <w:r>
            <w:rPr>
              <w:rFonts w:cs="Calibri" w:cstheme="minorHAnsi"/>
              <w:lang w:val="it-IT"/>
            </w:rPr>
            <w:t xml:space="preserve">andrebbe riformato e </w:t>
          </w:r>
          <w:r>
            <w:rPr>
              <w:rFonts w:cs="Calibri" w:cstheme="minorHAnsi"/>
              <w:b/>
              <w:bCs/>
              <w:lang w:val="it-IT"/>
            </w:rPr>
            <w:t>la persona umana posta al centro di esso.</w:t>
          </w:r>
        </w:p>
        <w:p>
          <w:pPr>
            <w:pStyle w:val="Normal"/>
            <w:spacing w:before="0" w:after="0"/>
            <w:ind w:hanging="425" w:left="851"/>
            <w:jc w:val="both"/>
            <w:rPr>
              <w:b/>
              <w:bCs/>
            </w:rPr>
          </w:pPr>
          <w:r>
            <w:rPr>
              <w:rFonts w:cs="Calibri" w:cstheme="minorHAnsi"/>
              <w:b/>
              <w:bCs/>
            </w:rPr>
            <w:t>2.3</w:t>
            <w:tab/>
            <w:t xml:space="preserve">L’ONU dovrebbe essere riformato </w:t>
          </w:r>
          <w:r>
            <w:rPr>
              <w:rFonts w:cs="Calibri" w:cstheme="minorHAnsi"/>
            </w:rPr>
            <w:t xml:space="preserve">attraverso: a) </w:t>
          </w:r>
          <w:r>
            <w:rPr>
              <w:rFonts w:cs="Calibri" w:cstheme="minorHAnsi"/>
              <w:kern w:val="0"/>
              <w:sz w:val="24"/>
              <w:szCs w:val="24"/>
              <w14:ligatures w14:val="none"/>
            </w:rPr>
            <w:t>l’abolizione del Consiglio di Sicurezza e del meccanismo di veto</w:t>
          </w:r>
          <w:r>
            <w:rPr>
              <w:rFonts w:cs="Calibri" w:cstheme="minorHAnsi"/>
              <w:i/>
              <w:iCs/>
            </w:rPr>
            <w:t>;</w:t>
          </w:r>
          <w:r>
            <w:rPr>
              <w:rFonts w:cs="Calibri" w:cstheme="minorHAnsi"/>
            </w:rPr>
            <w:t xml:space="preserve"> b) la creazione di una </w:t>
          </w:r>
          <w:r>
            <w:rPr>
              <w:rFonts w:cs="Calibri" w:cstheme="minorHAnsi"/>
              <w:kern w:val="0"/>
              <w:sz w:val="24"/>
              <w:szCs w:val="24"/>
              <w14:ligatures w14:val="none"/>
            </w:rPr>
            <w:t>seconda assemblea</w:t>
          </w:r>
          <w:r>
            <w:rPr>
              <w:rFonts w:cs="Calibri" w:cstheme="minorHAnsi"/>
            </w:rPr>
            <w:t xml:space="preserve"> in cui trovino posto i corpi intermedi della società civile, per bilanciare l’altra assemblea in cui siedono solo gli Stati; c) l’istituzione di </w:t>
          </w:r>
          <w:r>
            <w:rPr>
              <w:rFonts w:cs="Calibri" w:cstheme="minorHAnsi"/>
              <w:kern w:val="0"/>
              <w:sz w:val="24"/>
              <w:szCs w:val="24"/>
              <w14:ligatures w14:val="none"/>
            </w:rPr>
            <w:t>un’agenzia per lo sviluppo e all’eliminazione degli squilibri economici</w:t>
          </w:r>
          <w:r>
            <w:rPr>
              <w:b/>
              <w:bCs/>
            </w:rPr>
            <w:t>.</w:t>
          </w:r>
        </w:p>
        <w:p>
          <w:pPr>
            <w:pStyle w:val="Normal"/>
            <w:spacing w:before="0" w:after="0"/>
            <w:ind w:hanging="420" w:left="851"/>
            <w:jc w:val="both"/>
            <w:rPr>
              <w:b/>
              <w:bCs/>
            </w:rPr>
          </w:pPr>
          <w:r>
            <w:rPr>
              <w:b/>
              <w:bCs/>
            </w:rPr>
            <w:t>2.4</w:t>
            <w:tab/>
          </w:r>
          <w:r>
            <w:rPr>
              <w:rFonts w:cs="Calibri" w:cstheme="minorHAnsi"/>
              <w:b/>
              <w:bCs/>
              <w:kern w:val="0"/>
              <w:sz w:val="24"/>
              <w:szCs w:val="24"/>
              <w14:ligatures w14:val="none"/>
            </w:rPr>
            <w:t>L’ONU rifondato</w:t>
          </w:r>
          <w:r>
            <w:rPr>
              <w:b/>
              <w:bCs/>
            </w:rPr>
            <w:t xml:space="preserve"> dovrebbe essere </w:t>
          </w:r>
          <w:r>
            <w:rPr>
              <w:rFonts w:cs="Calibri" w:cstheme="minorHAnsi"/>
              <w:b/>
              <w:bCs/>
              <w:kern w:val="0"/>
              <w:sz w:val="24"/>
              <w:szCs w:val="24"/>
              <w14:ligatures w14:val="none"/>
            </w:rPr>
            <w:t>libero da condizionamenti e pressioni economiche</w:t>
          </w:r>
          <w:r>
            <w:rPr>
              <w:b/>
              <w:bCs/>
            </w:rPr>
            <w:t xml:space="preserve">. </w:t>
          </w:r>
          <w:r>
            <w:rPr/>
            <w:t>I contributi degli Stati dovrebbero essere eliminati. L’ONU dovrebbe essere dotato di risorse proprie (un suo patrimonio da gestire) che lo renda veramente indipendente.</w:t>
          </w:r>
        </w:p>
        <w:p>
          <w:pPr>
            <w:pStyle w:val="Normal"/>
            <w:spacing w:before="0" w:after="0"/>
            <w:ind w:hanging="420" w:left="851"/>
            <w:jc w:val="both"/>
            <w:rPr>
              <w:rFonts w:cs="Calibri" w:cstheme="minorHAnsi"/>
              <w:b/>
              <w:bCs/>
            </w:rPr>
          </w:pPr>
          <w:r>
            <w:rPr>
              <w:b/>
              <w:bCs/>
            </w:rPr>
            <w:t>2.5</w:t>
            <w:tab/>
            <w:t xml:space="preserve">L’indipendenza economica dell’ONU potrebbe essere raggiunta attraverso la </w:t>
          </w:r>
          <w:r>
            <w:rPr>
              <w:rFonts w:cs="Calibri" w:cstheme="minorHAnsi"/>
              <w:b/>
              <w:bCs/>
            </w:rPr>
            <w:t>“global Tobin tax</w:t>
          </w:r>
          <w:r>
            <w:rPr>
              <w:rFonts w:cs="Calibri" w:cstheme="minorHAnsi"/>
            </w:rPr>
            <w:t xml:space="preserve">” </w:t>
          </w:r>
          <w:r>
            <w:rPr/>
            <w:t>(una parte resterebbe allo Stato di imposizione della tassa e il resto andrebbe all’ONU)</w:t>
          </w:r>
          <w:r>
            <w:rPr>
              <w:b/>
              <w:bCs/>
            </w:rPr>
            <w:t xml:space="preserve"> e la totale </w:t>
          </w:r>
          <w:r>
            <w:rPr>
              <w:rFonts w:cs="Calibri" w:cstheme="minorHAnsi"/>
              <w:b/>
              <w:bCs/>
            </w:rPr>
            <w:t>eliminazione dei paradisi fiscali.</w:t>
          </w:r>
        </w:p>
        <w:p>
          <w:pPr>
            <w:pStyle w:val="ListParagraph"/>
            <w:numPr>
              <w:ilvl w:val="1"/>
              <w:numId w:val="1"/>
            </w:numPr>
            <w:ind w:hanging="360" w:left="851"/>
            <w:jc w:val="both"/>
            <w:rPr>
              <w:b/>
              <w:bCs/>
              <w:lang w:val="it-IT"/>
            </w:rPr>
          </w:pPr>
          <w:r>
            <w:rPr>
              <w:b/>
              <w:bCs/>
              <w:lang w:val="it-IT"/>
            </w:rPr>
            <w:t xml:space="preserve">Si dovrebbe istituire un </w:t>
          </w:r>
          <w:r>
            <w:rPr>
              <w:rFonts w:cs="Calibri" w:cstheme="minorHAnsi"/>
              <w:b/>
              <w:bCs/>
              <w:lang w:val="it-IT"/>
            </w:rPr>
            <w:t>Tribunale Penale Internazionale per i crimini contro l’ambiente</w:t>
          </w:r>
          <w:r>
            <w:rPr>
              <w:b/>
              <w:bCs/>
              <w:lang w:val="it-IT"/>
            </w:rPr>
            <w:t xml:space="preserve"> </w:t>
          </w:r>
          <w:r>
            <w:rPr>
              <w:lang w:val="it-IT"/>
            </w:rPr>
            <w:t>(o affidare le giurisdizioni su tali crimini all’attuale Corte Penale Internazionale).</w:t>
          </w:r>
        </w:p>
        <w:p>
          <w:pPr>
            <w:pStyle w:val="ListParagraph"/>
            <w:numPr>
              <w:ilvl w:val="1"/>
              <w:numId w:val="1"/>
            </w:numPr>
            <w:ind w:hanging="360" w:left="851"/>
            <w:jc w:val="both"/>
            <w:rPr>
              <w:rFonts w:cs="Calibri" w:cstheme="minorHAnsi"/>
              <w:b/>
              <w:bCs/>
              <w:lang w:val="it-IT"/>
            </w:rPr>
          </w:pPr>
          <w:r>
            <w:rPr>
              <w:b/>
              <w:bCs/>
              <w:lang w:val="it-IT"/>
            </w:rPr>
            <w:t xml:space="preserve">Bisognerebbe incoraggiare gli Stati ad adottare la </w:t>
          </w:r>
          <w:r>
            <w:rPr>
              <w:rFonts w:cs="Calibri" w:cstheme="minorHAnsi"/>
              <w:b/>
              <w:bCs/>
              <w:lang w:val="it-IT"/>
            </w:rPr>
            <w:t>giurisdizione universale.</w:t>
          </w:r>
        </w:p>
        <w:p>
          <w:pPr>
            <w:pStyle w:val="ListParagraph"/>
            <w:numPr>
              <w:ilvl w:val="1"/>
              <w:numId w:val="1"/>
            </w:numPr>
            <w:ind w:hanging="360" w:left="851"/>
            <w:jc w:val="both"/>
            <w:rPr>
              <w:lang w:val="it-IT"/>
            </w:rPr>
          </w:pPr>
          <w:r>
            <w:rPr>
              <w:rFonts w:cs="Calibri" w:cstheme="minorHAnsi"/>
              <w:b/>
              <w:bCs/>
              <w:lang w:val="it-IT"/>
            </w:rPr>
            <w:t>Il Ministero degli Affari Esteri andrebbe spinto a sostenere attività di cooperazione,</w:t>
          </w:r>
          <w:r>
            <w:rPr>
              <w:b/>
              <w:bCs/>
              <w:lang w:val="it-IT"/>
            </w:rPr>
            <w:t xml:space="preserve"> non solo di tipo economico, ma anche di prevenzione di possibili conflitti utilizzando in particolare le </w:t>
          </w:r>
          <w:r>
            <w:rPr>
              <w:rFonts w:cs="Calibri" w:cstheme="minorHAnsi"/>
              <w:b/>
              <w:bCs/>
              <w:lang w:val="it-IT"/>
            </w:rPr>
            <w:t>relazioni bilaterali di tipo scientifico</w:t>
          </w:r>
          <w:r>
            <w:rPr>
              <w:b/>
              <w:bCs/>
              <w:lang w:val="it-IT"/>
            </w:rPr>
            <w:t xml:space="preserve"> </w:t>
          </w:r>
          <w:r>
            <w:rPr>
              <w:lang w:val="it-IT"/>
            </w:rPr>
            <w:t>(progetti di ricerca, scambio di studenti…).</w:t>
          </w:r>
        </w:p>
        <w:p>
          <w:pPr>
            <w:pStyle w:val="Normal"/>
            <w:ind w:hanging="425" w:left="851"/>
            <w:jc w:val="both"/>
            <w:rPr>
              <w:b/>
              <w:bCs/>
            </w:rPr>
          </w:pPr>
          <w:r>
            <w:rPr>
              <w:b/>
              <w:bCs/>
            </w:rPr>
            <w:t>2.9</w:t>
            <w:tab/>
            <w:t xml:space="preserve">Istituire una </w:t>
          </w:r>
          <w:r>
            <w:rPr>
              <w:rFonts w:cs="Calibri" w:cstheme="minorHAnsi"/>
              <w:b/>
              <w:bCs/>
            </w:rPr>
            <w:t>scuola estiva</w:t>
          </w:r>
          <w:r>
            <w:rPr>
              <w:b/>
              <w:bCs/>
            </w:rPr>
            <w:t>, o un’iniziativa didattica simile</w:t>
          </w:r>
          <w:r>
            <w:rPr/>
            <w:t xml:space="preserve">, che eroghi corsi brevi, </w:t>
          </w:r>
          <w:r>
            <w:rPr>
              <w:rFonts w:cs="Calibri" w:cstheme="minorHAnsi"/>
            </w:rPr>
            <w:t>sul tema della pace</w:t>
          </w:r>
          <w:r>
            <w:rPr/>
            <w:t>.</w:t>
          </w:r>
        </w:p>
        <w:p>
          <w:pPr>
            <w:pStyle w:val="Normal"/>
            <w:spacing w:before="0" w:after="0"/>
            <w:ind w:hanging="567" w:left="851"/>
            <w:jc w:val="both"/>
            <w:rPr/>
          </w:pPr>
          <w:r>
            <w:rPr>
              <w:b/>
              <w:bCs/>
            </w:rPr>
            <w:t>2.10</w:t>
            <w:tab/>
            <w:t xml:space="preserve">Nelle scuole, introduzione di </w:t>
          </w:r>
          <w:r>
            <w:rPr>
              <w:rFonts w:cs="Calibri" w:cstheme="minorHAnsi"/>
              <w:b/>
              <w:bCs/>
            </w:rPr>
            <w:t xml:space="preserve">un’ora che tratti di pace e condivisione globale, </w:t>
          </w:r>
          <w:r>
            <w:rPr>
              <w:rFonts w:cs="Calibri" w:cstheme="minorHAnsi"/>
            </w:rPr>
            <w:t>in aggiunta o in alternativa all’ora di religione</w:t>
          </w:r>
          <w:r>
            <w:rPr/>
            <w:t>.</w:t>
          </w:r>
        </w:p>
        <w:p>
          <w:pPr>
            <w:pStyle w:val="ListParagraph"/>
            <w:numPr>
              <w:ilvl w:val="1"/>
              <w:numId w:val="3"/>
            </w:numPr>
            <w:ind w:hanging="567" w:left="851"/>
            <w:jc w:val="both"/>
            <w:rPr>
              <w:b/>
              <w:bCs/>
              <w:lang w:val="it-IT"/>
            </w:rPr>
          </w:pPr>
          <w:r>
            <w:rPr>
              <w:b/>
              <w:bCs/>
              <w:lang w:val="it-IT"/>
            </w:rPr>
            <w:t xml:space="preserve">Bisognerebbe sviluppare una </w:t>
          </w:r>
          <w:r>
            <w:rPr>
              <w:rFonts w:cs="Calibri" w:cstheme="minorHAnsi"/>
              <w:b/>
              <w:bCs/>
              <w:lang w:val="it-IT"/>
            </w:rPr>
            <w:t>pedagogia interculturale per la pace.</w:t>
          </w:r>
        </w:p>
        <w:p>
          <w:pPr>
            <w:pStyle w:val="ListParagraph"/>
            <w:numPr>
              <w:ilvl w:val="1"/>
              <w:numId w:val="3"/>
            </w:numPr>
            <w:ind w:hanging="567" w:left="851"/>
            <w:jc w:val="both"/>
            <w:rPr>
              <w:lang w:val="it-IT"/>
            </w:rPr>
          </w:pPr>
          <w:r>
            <w:rPr>
              <w:b/>
              <w:bCs/>
              <w:lang w:val="it-IT"/>
            </w:rPr>
            <w:t xml:space="preserve">Si dovrebbe </w:t>
          </w:r>
          <w:r>
            <w:rPr>
              <w:rFonts w:cs="Calibri" w:cstheme="minorHAnsi"/>
              <w:b/>
              <w:bCs/>
              <w:lang w:val="it-IT"/>
            </w:rPr>
            <w:t>denunciare la Commissione Europea</w:t>
          </w:r>
          <w:r>
            <w:rPr>
              <w:b/>
              <w:bCs/>
              <w:lang w:val="it-IT"/>
            </w:rPr>
            <w:t xml:space="preserve"> agli organi di giustizia internazionale</w:t>
          </w:r>
          <w:r>
            <w:rPr>
              <w:lang w:val="it-IT"/>
            </w:rPr>
            <w:t>, in caso di</w:t>
          </w:r>
          <w:r>
            <w:rPr>
              <w:b/>
              <w:bCs/>
              <w:lang w:val="it-IT"/>
            </w:rPr>
            <w:t xml:space="preserve"> </w:t>
          </w:r>
          <w:r>
            <w:rPr>
              <w:lang w:val="it-IT"/>
            </w:rPr>
            <w:t>violazione del diritto internazionale.</w:t>
          </w:r>
        </w:p>
        <w:p>
          <w:pPr>
            <w:pStyle w:val="Normal"/>
            <w:jc w:val="both"/>
            <w:rPr/>
          </w:pPr>
          <w:r>
            <w:rPr/>
            <w:t>Il gruppo ha inoltre effettuato delle interrogazioni di AI generativa</w:t>
          </w:r>
          <w:r>
            <w:rPr>
              <w:rStyle w:val="FootnoteReference"/>
            </w:rPr>
            <w:footnoteReference w:id="8"/>
          </w:r>
          <w:r>
            <w:rPr/>
            <w:t xml:space="preserve"> sul tema.</w:t>
          </w:r>
        </w:p>
        <w:p>
          <w:pPr>
            <w:pStyle w:val="Normal"/>
            <w:jc w:val="both"/>
            <w:rPr>
              <w:b/>
              <w:bCs/>
            </w:rPr>
          </w:pPr>
          <w:r>
            <w:rPr>
              <w:b/>
              <w:bCs/>
              <w:color w:val="FF0000"/>
              <w:sz w:val="32"/>
              <w:szCs w:val="32"/>
            </w:rPr>
            <w:t>D</w:t>
          </w:r>
          <w:r>
            <w:rPr>
              <w:b/>
              <w:bCs/>
            </w:rPr>
            <w:t xml:space="preserve">iversità </w:t>
          </w:r>
        </w:p>
        <w:p>
          <w:pPr>
            <w:pStyle w:val="Normal"/>
            <w:jc w:val="both"/>
            <w:rPr>
              <w:b/>
              <w:bCs/>
            </w:rPr>
          </w:pPr>
          <w:r>
            <w:rPr>
              <w:b/>
              <w:bCs/>
            </w:rPr>
            <w:t>Il gruppo di lavoro</w:t>
          </w:r>
          <w:r>
            <w:rPr>
              <w:rStyle w:val="FootnoteReference"/>
              <w:b/>
              <w:bCs/>
            </w:rPr>
            <w:footnoteReference w:id="9"/>
          </w:r>
          <w:r>
            <w:rPr>
              <w:b/>
              <w:bCs/>
            </w:rPr>
            <w:t xml:space="preserve"> ha fatto proprie le proposte avanzate dalle relatrici della mattina, Maura Cossutta Presidente della Casa Internazionale delle Donne, Patrizia Sterpetti Presidente della Sezione Italiana della WILPF (Women International League for Peace and Freedom) e Olga Karach Presidente di Our House. </w:t>
          </w:r>
        </w:p>
        <w:p>
          <w:pPr>
            <w:pStyle w:val="Normal"/>
            <w:jc w:val="both"/>
            <w:rPr/>
          </w:pPr>
          <w:r>
            <w:rPr/>
            <w:t>In particolare:</w:t>
          </w:r>
        </w:p>
        <w:p>
          <w:pPr>
            <w:pStyle w:val="Normal"/>
            <w:ind w:hanging="567" w:left="851"/>
            <w:rPr/>
          </w:pPr>
          <w:r>
            <w:rPr>
              <w:b/>
              <w:bCs/>
            </w:rPr>
            <w:t>3.1)</w:t>
            <w:tab/>
            <w:t xml:space="preserve">Appello per la convocazione di una nuova CONFERENZA transnazionale delle donne per la pace </w:t>
          </w:r>
          <w:r>
            <w:rPr/>
            <w:t>(con la Casa Internazionale delle Donne);</w:t>
          </w:r>
        </w:p>
        <w:p>
          <w:pPr>
            <w:pStyle w:val="Normal"/>
            <w:ind w:hanging="567" w:left="851"/>
            <w:rPr>
              <w:b/>
              <w:bCs/>
            </w:rPr>
          </w:pPr>
          <w:r>
            <w:rPr>
              <w:b/>
              <w:bCs/>
            </w:rPr>
            <w:t>3.2)</w:t>
            <w:tab/>
            <w:t>Sostegno alla campagna dell'Associazione Our House "NO means NO", richiesta all'Unione europea di riconoscere il diritto d'asilo agli Obiettori di Coscienza alla guerra e introduzione in tutti gli Stati membri dell’UE del diritto all’obiezione di coscienza rispetto alla coscrizione obbligatoria.</w:t>
          </w:r>
        </w:p>
        <w:p>
          <w:pPr>
            <w:pStyle w:val="Normal"/>
            <w:ind w:hanging="567" w:left="851"/>
            <w:rPr>
              <w:b/>
              <w:bCs/>
            </w:rPr>
          </w:pPr>
          <w:r>
            <w:rPr>
              <w:b/>
              <w:bCs/>
            </w:rPr>
            <w:t>3.3)</w:t>
            <w:tab/>
            <w:t>Richiesta di istituire il Ministero per la Pace (con WILPF Italia)</w:t>
          </w:r>
        </w:p>
        <w:p>
          <w:pPr>
            <w:pStyle w:val="Normal"/>
            <w:ind w:hanging="567" w:left="851"/>
            <w:rPr/>
          </w:pPr>
          <w:r>
            <w:rPr/>
            <w:t>Sono seguite ulteriori proposte emerse all’interno dei lavori pomeridiani del gruppo.</w:t>
          </w:r>
        </w:p>
        <w:p>
          <w:pPr>
            <w:pStyle w:val="Normal"/>
            <w:ind w:hanging="567" w:left="851"/>
            <w:jc w:val="both"/>
            <w:rPr>
              <w:color w:val="C9211E"/>
            </w:rPr>
          </w:pPr>
          <w:r>
            <w:rPr>
              <w:b/>
              <w:bCs/>
              <w:color w:val="C9211E"/>
            </w:rPr>
            <w:t>3.4)</w:t>
            <w:tab/>
            <w:t xml:space="preserve">Vigilare sui tentativi di corruzione e strumentalizzazione delle acquisizioni femministe e pacifiste, da parte della N.A.T.O. , in particolare in relazione all'Agenda "Donne, Pace e Sicurezza". </w:t>
          </w:r>
          <w:r>
            <w:rPr>
              <w:b w:val="false"/>
              <w:bCs w:val="false"/>
              <w:color w:val="C9211E"/>
            </w:rPr>
            <w:t>Infatti il coinvolgimento delle donne delle Forze armate e l'adozione della prospettiva di genere da parte dei corpi militari per le missioni è una deviazione rispetto al focus principale dell'Agenda che è la Partecipazione delle donne civili alla Prevenzione, Mediazione dei conflitti e Protezione delle vittime, in particolare donne e minori.</w:t>
          </w:r>
        </w:p>
        <w:p>
          <w:pPr>
            <w:pStyle w:val="Normal"/>
            <w:ind w:hanging="567" w:left="851"/>
            <w:jc w:val="both"/>
            <w:rPr/>
          </w:pPr>
          <w:r>
            <w:rPr>
              <w:b/>
              <w:bCs/>
            </w:rPr>
            <w:t>3.5)</w:t>
            <w:tab/>
            <w:t xml:space="preserve">Necessità di rifinanziare il Piano d'Azione Nazionale Donne, Pace e Sicurezza legato alla Risoluzione n. 1325 del 2000, approvata dal Consiglio di Sicurezza. </w:t>
          </w:r>
          <w:r>
            <w:rPr/>
            <w:t>Il Governo in carica, con l'ultima legge di bilancio, non ha stanziato risorse su questo capitolo di spesa.</w:t>
          </w:r>
        </w:p>
        <w:p>
          <w:pPr>
            <w:pStyle w:val="Normal"/>
            <w:ind w:hanging="567" w:left="851"/>
            <w:jc w:val="both"/>
            <w:rPr>
              <w:b/>
              <w:bCs/>
            </w:rPr>
          </w:pPr>
          <w:r>
            <w:rPr>
              <w:b/>
              <w:bCs/>
            </w:rPr>
            <w:t>3.6)</w:t>
            <w:tab/>
            <w:t>Inserire l'impatto delle attività militari negli Accordi di Parigi sul clima; a livello nazionale modificare il "Testo Unico Ambientale" o "Codice dell'ambiente" (Decreto Legislativo 3 aprile 2006, n. 152), includendo le attività militari nella lista delle attività inquinanti.</w:t>
          </w:r>
        </w:p>
        <w:p>
          <w:pPr>
            <w:pStyle w:val="Normal"/>
            <w:ind w:hanging="567" w:left="851"/>
            <w:rPr>
              <w:b/>
              <w:bCs/>
            </w:rPr>
          </w:pPr>
          <w:r>
            <w:rPr>
              <w:b/>
              <w:bCs/>
            </w:rPr>
            <w:t>3.7)</w:t>
            <w:tab/>
            <w:t>Lavorare a livello culturale su un modello di mascolinità non militarizzata e non aggressiva.</w:t>
          </w:r>
        </w:p>
        <w:p>
          <w:pPr>
            <w:pStyle w:val="Normal"/>
            <w:ind w:hanging="567" w:left="851"/>
            <w:rPr>
              <w:b/>
              <w:bCs/>
            </w:rPr>
          </w:pPr>
          <w:r>
            <w:rPr>
              <w:b/>
              <w:bCs/>
            </w:rPr>
            <w:t>3.8)</w:t>
            <w:tab/>
            <w:t xml:space="preserve">Non disperdere ma valorizzare il background </w:t>
          </w:r>
          <w:r>
            <w:rPr>
              <w:b/>
              <w:bCs/>
              <w:color w:val="C9211E"/>
            </w:rPr>
            <w:t>de</w:t>
          </w:r>
          <w:r>
            <w:rPr>
              <w:b/>
              <w:bCs/>
              <w:color w:val="C9211E"/>
            </w:rPr>
            <w:t>lle</w:t>
          </w:r>
          <w:r>
            <w:rPr>
              <w:b/>
              <w:bCs/>
              <w:color w:val="C9211E"/>
            </w:rPr>
            <w:t xml:space="preserve"> nostr</w:t>
          </w:r>
          <w:r>
            <w:rPr>
              <w:b/>
              <w:bCs/>
              <w:color w:val="C9211E"/>
            </w:rPr>
            <w:t xml:space="preserve">e ambasciatrici </w:t>
          </w:r>
          <w:r>
            <w:rPr>
              <w:b/>
              <w:bCs/>
            </w:rPr>
            <w:t>e</w:t>
          </w:r>
          <w:r>
            <w:rPr>
              <w:b/>
              <w:bCs/>
            </w:rPr>
            <w:t xml:space="preserve"> </w:t>
          </w:r>
          <w:r>
            <w:rPr>
              <w:b/>
              <w:bCs/>
            </w:rPr>
            <w:t>a</w:t>
          </w:r>
          <w:r>
            <w:rPr>
              <w:b/>
              <w:bCs/>
            </w:rPr>
            <w:t>mbasciatori all'estero.</w:t>
          </w:r>
        </w:p>
        <w:p>
          <w:pPr>
            <w:pStyle w:val="Normal"/>
            <w:ind w:hanging="567" w:left="851"/>
            <w:jc w:val="both"/>
            <w:rPr/>
          </w:pPr>
          <w:r>
            <w:rPr>
              <w:b/>
              <w:bCs/>
            </w:rPr>
            <w:t>3.9)</w:t>
            <w:tab/>
          </w:r>
          <w:r>
            <w:rPr>
              <w:b/>
              <w:bCs/>
              <w:color w:val="C9211E"/>
            </w:rPr>
            <w:t>Attuare un'accoglienza pacifica e dignitosa della popolazione migrante e rifugiata</w:t>
          </w:r>
          <w:r>
            <w:rPr>
              <w:b/>
              <w:bCs/>
              <w:color w:val="C9211E"/>
            </w:rPr>
            <w:t>,</w:t>
          </w:r>
          <w:r>
            <w:rPr>
              <w:b/>
              <w:bCs/>
              <w:color w:val="C9211E"/>
            </w:rPr>
            <w:t xml:space="preserve"> valorizzandone le competenze geopolitiche, economiche e socio-culturali sui Paesi di provenienza </w:t>
          </w:r>
          <w:r>
            <w:rPr>
              <w:b w:val="false"/>
              <w:bCs w:val="false"/>
              <w:color w:val="C9211E"/>
            </w:rPr>
            <w:t xml:space="preserve">per: a) la pianificazione delle relazioni internazionali; </w:t>
          </w:r>
          <w:r>
            <w:rPr>
              <w:b w:val="false"/>
              <w:bCs w:val="false"/>
              <w:color w:val="C9211E"/>
            </w:rPr>
            <w:t xml:space="preserve">b) </w:t>
          </w:r>
          <w:r>
            <w:rPr>
              <w:b w:val="false"/>
              <w:bCs w:val="false"/>
              <w:color w:val="C9211E"/>
            </w:rPr>
            <w:t xml:space="preserve">la pianificazione della cooperazione, in particolare decentrata, fra aree di partenza e aree di residenza in Italia; c) </w:t>
          </w:r>
          <w:r>
            <w:rPr>
              <w:b w:val="false"/>
              <w:bCs w:val="false"/>
              <w:color w:val="C9211E"/>
            </w:rPr>
            <w:t>il suo riconoscimento</w:t>
          </w:r>
          <w:r>
            <w:rPr>
              <w:b w:val="false"/>
              <w:bCs w:val="false"/>
              <w:color w:val="C9211E"/>
            </w:rPr>
            <w:t xml:space="preserve"> come agente di sviluppo.</w:t>
          </w:r>
        </w:p>
        <w:p>
          <w:pPr>
            <w:pStyle w:val="Normal"/>
            <w:ind w:hanging="567" w:left="851"/>
            <w:jc w:val="both"/>
            <w:rPr/>
          </w:pPr>
          <w:r>
            <w:rPr>
              <w:b/>
              <w:bCs/>
            </w:rPr>
            <w:t>3.10)</w:t>
            <w:tab/>
            <w:t xml:space="preserve">E' necessario che le Forze dell'Ordine adottino una condotta pedagogica e non repressiva, </w:t>
          </w:r>
          <w:r>
            <w:rPr/>
            <w:t>nei confronti delle giovani generazioni.</w:t>
          </w:r>
        </w:p>
        <w:p>
          <w:pPr>
            <w:pStyle w:val="Normal"/>
            <w:ind w:hanging="567" w:left="851"/>
            <w:rPr>
              <w:b/>
              <w:bCs/>
            </w:rPr>
          </w:pPr>
          <w:r>
            <w:rPr>
              <w:b/>
              <w:bCs/>
            </w:rPr>
            <w:t>3.11)</w:t>
            <w:tab/>
            <w:t>Bisogna liberarsi dai condizionamenti egemonici nelle relazioni internazionali.</w:t>
          </w:r>
        </w:p>
        <w:p>
          <w:pPr>
            <w:pStyle w:val="Normal"/>
            <w:ind w:hanging="567" w:left="851"/>
            <w:rPr>
              <w:b/>
              <w:bCs/>
            </w:rPr>
          </w:pPr>
          <w:r>
            <w:rPr>
              <w:b/>
              <w:bCs/>
            </w:rPr>
            <w:t>3.12)</w:t>
            <w:tab/>
            <w:t xml:space="preserve">Riprendere l'attitudine alla neutralità di più Paesi possibili </w:t>
          </w:r>
        </w:p>
        <w:p>
          <w:pPr>
            <w:pStyle w:val="Normal"/>
            <w:ind w:hanging="567" w:left="851"/>
            <w:jc w:val="both"/>
            <w:rPr>
              <w:b/>
              <w:bCs/>
            </w:rPr>
          </w:pPr>
          <w:r>
            <w:rPr>
              <w:b/>
              <w:bCs/>
            </w:rPr>
            <w:t>3.13)</w:t>
            <w:tab/>
            <w:t xml:space="preserve">Costruire una narrazione alternativa a quella bellicista. </w:t>
          </w:r>
          <w:r>
            <w:rPr/>
            <w:t>Aprire un dialogo con le rappresentanze dei Paesi sottoposti a sanzioni finanziarie internazionali da parte dell’Unione Europea - come Russia, Iran, Yemen, e con i leaders di gruppi quali Hamas e Houthi, gli Hezbollah libanesi - per identificare le ragioni alla base delle rotture diplomatiche su temi quali il rispetto dei diritti umani, la tutela delle minoranze linguistiche ed etniche, l’autodeterminazione dei diritti fondamentali di popoli sottoposti a regimi di apartheid, le garanzie delle rispettive esigenze di sicurezza internazionale. Ciò fornirebbe la base per future iniziative geopolitiche che ristabiliscano relazioni diplomatiche non conflittuali</w:t>
          </w:r>
          <w:r>
            <w:rPr>
              <w:b/>
              <w:bCs/>
            </w:rPr>
            <w:t>.</w:t>
          </w:r>
        </w:p>
        <w:p>
          <w:pPr>
            <w:pStyle w:val="Normal"/>
            <w:ind w:hanging="567" w:left="851"/>
            <w:jc w:val="both"/>
            <w:rPr/>
          </w:pPr>
          <w:r>
            <w:rPr>
              <w:b/>
              <w:bCs/>
            </w:rPr>
            <w:t>3.14)</w:t>
            <w:tab/>
            <w:t xml:space="preserve">Bisogna “votare la pace”, </w:t>
          </w:r>
          <w:r>
            <w:rPr/>
            <w:t xml:space="preserve">rendendo trasparente ed esplicito il posizionamento delle forze politiche rispetto a temi fondamentali quali la Pace e la guerra. </w:t>
          </w:r>
        </w:p>
        <w:p>
          <w:pPr>
            <w:pStyle w:val="Normal"/>
            <w:ind w:hanging="567" w:left="851"/>
            <w:jc w:val="both"/>
            <w:rPr/>
          </w:pPr>
          <w:r>
            <w:rPr>
              <w:b/>
              <w:bCs/>
            </w:rPr>
            <w:t>3.15)</w:t>
            <w:tab/>
            <w:t>Spostare risorse dal settore militare a quello civile; è inconcepibile che si definanzi la spesa pubblica destinata ad investimenti socio-sanitati e culturali-educativi, ivi compresi gli stanziamenti per la transizione ecologica</w:t>
          </w:r>
          <w:r>
            <w:rPr/>
            <w:t>, mentre si aumentano gli investimenti bellici. In parallelo, occorre monitorare l’impatto negativo della riallocazione di fondi dal comparto sociale a quello militare, in termini di benessere della popolazione.</w:t>
          </w:r>
        </w:p>
        <w:p>
          <w:pPr>
            <w:pStyle w:val="Normal"/>
            <w:ind w:hanging="567" w:left="851"/>
            <w:jc w:val="both"/>
            <w:rPr/>
          </w:pPr>
          <w:r>
            <w:rPr>
              <w:b/>
              <w:bCs/>
            </w:rPr>
            <w:t>3.16)</w:t>
            <w:tab/>
            <w:t xml:space="preserve">Ripensare la pianificazione sociale; sostituire la sicurezza militarizzata con la sicurezza sociale, </w:t>
          </w:r>
          <w:r>
            <w:rPr/>
            <w:t>attraverso l’aumento di risorse umane, competenti e specializzate, per politiche di inclusione, di accoglienza e prevenzione del disagio</w:t>
          </w:r>
          <w:r>
            <w:rPr>
              <w:b/>
              <w:bCs/>
            </w:rPr>
            <w:t>. Creare esperienze pilota a livello di quartiere e di municipio. Formare Operatori di Pace Itineranti con competenze trasversali</w:t>
          </w:r>
          <w:r>
            <w:rPr/>
            <w:t xml:space="preserve">, in grado di ascoltare, monitorare, suggerire interventi suscettibili di continui adattamenti ai diversi contesti. Superare il modello securitario di gestione del territorio e investire su un largo impiego di assistenti sociali e antropologi culturali per l'inserimento di Rom, Sinti, Caminanti e altre minoranze. Dobbiamo, con ciò, riconoscere la nostra apartheid nei confronti delle diversità etno-culturali. </w:t>
          </w:r>
        </w:p>
        <w:p>
          <w:pPr>
            <w:pStyle w:val="Normal"/>
            <w:ind w:hanging="567" w:left="851"/>
            <w:jc w:val="both"/>
            <w:rPr>
              <w:b/>
              <w:bCs/>
            </w:rPr>
          </w:pPr>
          <w:r>
            <w:rPr>
              <w:b/>
              <w:bCs/>
            </w:rPr>
            <w:t>3.17)</w:t>
            <w:tab/>
            <w:t xml:space="preserve">Investire sull'innalzamento di una cultura del rispetto, della soluzione dei conflitti, del riconoscimento della diversità attraverso una socializzazione aperta, di una pedagogia mirata e una educazione informale, che arricchisca il senso comune e renda ovvio il valore della pace e della non violenza.    </w:t>
          </w:r>
        </w:p>
        <w:p>
          <w:pPr>
            <w:pStyle w:val="Normal"/>
            <w:ind w:hanging="567" w:left="851"/>
            <w:jc w:val="both"/>
            <w:rPr>
              <w:b/>
              <w:bCs/>
            </w:rPr>
          </w:pPr>
          <w:r>
            <w:rPr>
              <w:b/>
              <w:bCs/>
            </w:rPr>
            <w:t>3.18)</w:t>
            <w:tab/>
            <w:t>Potenziare il ruolo dell’arte come strumento capace di trasmettere messaggi profondi, complessi e universali e coinvolgere gli artisti in iniziative di pace, di comunione, solidarietà</w:t>
          </w:r>
          <w:r>
            <w:rPr/>
            <w:t>, al fine di rafforzare la coesione sociale, la libertà di espressione, il processo di democratizzazione, il dialogo e l’inclusione sociale</w:t>
          </w:r>
          <w:r>
            <w:rPr>
              <w:b/>
              <w:bCs/>
            </w:rPr>
            <w:t>.</w:t>
          </w:r>
        </w:p>
        <w:p>
          <w:pPr>
            <w:pStyle w:val="Normal"/>
            <w:ind w:hanging="567" w:left="851"/>
            <w:jc w:val="both"/>
            <w:rPr>
              <w:b/>
              <w:bCs/>
            </w:rPr>
          </w:pPr>
          <w:r>
            <w:rPr>
              <w:b/>
              <w:bCs/>
            </w:rPr>
            <w:t>3.19)</w:t>
            <w:tab/>
            <w:t xml:space="preserve">L'Italia deve dotarsi di una Istituzione Nazionale Indipendente per la Promozione e Protezione dei Diritti Umani, </w:t>
          </w:r>
          <w:r>
            <w:rPr/>
            <w:t>come indicato dalla Conferenza di Vienna del 1993.</w:t>
          </w:r>
          <w:r>
            <w:rPr>
              <w:b/>
              <w:bCs/>
            </w:rPr>
            <w:t xml:space="preserve">  </w:t>
          </w:r>
        </w:p>
        <w:p>
          <w:pPr>
            <w:pStyle w:val="Normal"/>
            <w:rPr>
              <w:b/>
              <w:bCs/>
            </w:rPr>
          </w:pPr>
          <w:r>
            <w:rPr>
              <w:b/>
              <w:bCs/>
            </w:rPr>
          </w:r>
        </w:p>
        <w:p>
          <w:pPr>
            <w:pStyle w:val="Normal"/>
            <w:jc w:val="both"/>
            <w:rPr>
              <w:b/>
              <w:bCs/>
            </w:rPr>
          </w:pPr>
          <w:r>
            <w:rPr>
              <w:b/>
              <w:bCs/>
              <w:color w:val="FF0000"/>
            </w:rPr>
            <w:t>D</w:t>
          </w:r>
          <w:r>
            <w:rPr>
              <w:b/>
              <w:bCs/>
            </w:rPr>
            <w:t>ecolonizzare i rapporti internazionali</w:t>
          </w:r>
          <w:r>
            <w:rPr>
              <w:rStyle w:val="FootnoteReference"/>
              <w:b/>
              <w:bCs/>
            </w:rPr>
            <w:footnoteReference w:id="10"/>
          </w:r>
        </w:p>
        <w:p>
          <w:pPr>
            <w:pStyle w:val="Normal"/>
            <w:jc w:val="both"/>
            <w:rPr>
              <w:b/>
              <w:bCs/>
            </w:rPr>
          </w:pPr>
          <w:r>
            <w:rPr>
              <w:b/>
              <w:bCs/>
            </w:rPr>
            <w:t xml:space="preserve">La competizione per le risorse, l’estrattivismo e le aree di influenza sono alla base delle oltre 60 guerre in atto nel mondo. Esse generano distruzione ambientale e migrazioni forzose. </w:t>
          </w:r>
          <w:r>
            <w:rPr/>
            <w:t>Oltre a rivendicare una libertà di movimento naturale per l'essere umano, il diritto ad una ospitalità dignitosa garantita a tutti, vanno combattute tutte le forme di neocolonialismo e sfruttamento delle ricchezze dei popoli che migrano.</w:t>
          </w:r>
          <w:r>
            <w:rPr>
              <w:b/>
              <w:bCs/>
            </w:rPr>
            <w:t xml:space="preserve"> </w:t>
          </w:r>
        </w:p>
        <w:p>
          <w:pPr>
            <w:pStyle w:val="Normal"/>
            <w:jc w:val="both"/>
            <w:rPr>
              <w:b/>
              <w:bCs/>
            </w:rPr>
          </w:pPr>
          <w:r>
            <w:rPr>
              <w:b/>
              <w:bCs/>
            </w:rPr>
            <w:t xml:space="preserve">L’Africa resta uno dei migliori punti di osservazione dei grandi processi che investono il mondo. È il luogo dove si manifestano in forma estrema le conseguenze dello sfruttamento delle persone e dell’ambiente, ma è anche il continente in cui si sperimentano forme innovative per trarre profitto dalla sovrapposizione delle crisi. Queste politiche neocoloniali costringono masse crescenti a emigrare. </w:t>
          </w:r>
        </w:p>
        <w:p>
          <w:pPr>
            <w:pStyle w:val="Normal"/>
            <w:jc w:val="both"/>
            <w:rPr/>
          </w:pPr>
          <w:r>
            <w:rPr/>
            <w:t xml:space="preserve">Dobbiamo cambiare paradigma, chiedendo al Governo italiano e all’Unione Europea qualcosa di concreto per tutelare il diritto degli abitanti del Sud Globale, di poter scegliere di restare nella propria terra in dignità e sicurezza. </w:t>
          </w:r>
        </w:p>
        <w:p>
          <w:pPr>
            <w:pStyle w:val="Normal"/>
            <w:jc w:val="both"/>
            <w:rPr>
              <w:b/>
              <w:bCs/>
            </w:rPr>
          </w:pPr>
          <w:r>
            <w:rPr>
              <w:b/>
              <w:bCs/>
            </w:rPr>
            <w:t xml:space="preserve">La locuzione “fuggono dalla guerra e dalla fame” va enfatizzata esplicitando le responsabilità di chi provoca le guerre, di chi causa fame e emissioni climalteranti, che provocano desertificazione e alluvioni in intere regioni, all’origine dei flussi migratori. </w:t>
          </w:r>
          <w:r>
            <w:rPr/>
            <w:t>L’Occidente collettivo - in gran parte causa dei fenomeni che costringono le popolazioni del Sud globale alla migrazione - non può sottrarsi alle responsabilità che ne conseguono. Non basta un'accoglienza necessaria, aperta e dignitosa, serve riconoscere e superare lo sfruttamento coloniale e neo-coloniale, alla base delle disuguaglianze tra i popoli, che muovono le migrazioni. Concentrarsi solo sui temi dell’accoglienza sposta la questione dell’emigrazione da un piano politico e di diritti, ad un mero problema umanitario. Non pochi sono stati i leader africani che per aver denunciato le ingerenze delle vecchie potenze coloniali hanno subito persecuzioni, fino ad essere assassinati, come ad esempio Thomas Sankara, per citarne uno. Le condizioni climatiche avverse che costringono alla migrazione sono diretta conseguenza delle produzioni industriali occidentali</w:t>
          </w:r>
          <w:r>
            <w:rPr>
              <w:b/>
              <w:bCs/>
            </w:rPr>
            <w:t>. Esiste quindi un debito europeo e dell’Occidente verso l’Africa che dovrebbe imporre l’accoglienza di una quota rilevante dei 216 milioni di potenziali sfollati ambientali previsti dalla Banca Mondiale. Qui l’accoglienza è un dovere!</w:t>
          </w:r>
        </w:p>
        <w:p>
          <w:pPr>
            <w:pStyle w:val="Normal"/>
            <w:jc w:val="both"/>
            <w:rPr>
              <w:b/>
              <w:bCs/>
            </w:rPr>
          </w:pPr>
          <w:r>
            <w:rPr>
              <w:b/>
              <w:bCs/>
            </w:rPr>
            <w:t>L'Europa, e l'Italia in particolare, hanno dimenticato quanto solennemente giurato di rispettare, sottoscrivendo la Dichiarazione Universale dei Diritti Umani. In particolare, l’articolo 13 recita: 1. “Ogni individuo ha diritto alla libertà di movimento e di residenza entro i confini di ogni Stato”. 2. “Ogni individuo ha diritto di lasciare qualsiasi paese, incluso il proprio, e di ritornare nel proprio paese”.</w:t>
          </w:r>
        </w:p>
        <w:p>
          <w:pPr>
            <w:pStyle w:val="Normal"/>
            <w:jc w:val="both"/>
            <w:rPr/>
          </w:pPr>
          <w:r>
            <w:rPr/>
            <w:t xml:space="preserve">I regimi autoritari e corrotti, che tengono in ostaggio popolazioni sottraendo futuro e risorse, sono spesso regimi considerati “amici”, sostenuti, foraggiati e a volte direttamente insediati da Paesi occidentali. E le politiche economiche che non hanno permesso lo sviluppo sono spesso consigliate, quando non imposte, dal Fondo Monetario Internazionale, dominato dagli Stati Uniti e dalle nazioni europee </w:t>
          </w:r>
        </w:p>
        <w:p>
          <w:pPr>
            <w:pStyle w:val="Normal"/>
            <w:jc w:val="both"/>
            <w:rPr/>
          </w:pPr>
          <w:r>
            <w:rPr/>
            <w:t>La fame che costringe a cercare altrove una vita migliore non viene dal nulla e nemmeno “dalla natura”. Deriva tra l’altro, dalla trasformazione dell’agricoltura di sussistenza, in monoculture per l’esportazione derivanti dall’integrazione nel mercato mondiale. Con i profitti dell’economia estrattiva, le parti più ricche della popolazione comprano beni importati, spesso a scapito delle produzioni locali danneggiate da trattati commerciali di stampo neoliberista.</w:t>
          </w:r>
        </w:p>
        <w:p>
          <w:pPr>
            <w:pStyle w:val="Normal"/>
            <w:jc w:val="both"/>
            <w:rPr>
              <w:b/>
              <w:bCs/>
            </w:rPr>
          </w:pPr>
          <w:r>
            <w:rPr>
              <w:b/>
              <w:bCs/>
            </w:rPr>
            <w:t xml:space="preserve">Chiediamo con forza una revisione delle politiche neocoloniali commerciali dei BIT (Bilateral investment treaty) e degli accordi di libero scambio, attraverso i quali l’Unione Europa e l’Italia continuano a mantenere ragioni di scambio ineguali con i paesi africani. </w:t>
          </w:r>
        </w:p>
        <w:p>
          <w:pPr>
            <w:pStyle w:val="Normal"/>
            <w:jc w:val="both"/>
            <w:rPr/>
          </w:pPr>
          <w:r>
            <w:rPr/>
            <w:t xml:space="preserve">Non accettiamo che siano sul banco degli incriminati solo coloro che - siano milizie o scafisti – rappresentano solo l’ultimo anello di una catena di cause che porta alla morte di migliaia di persone e ha all’origine multinazionali del crimine che saccheggiano le risorse, sfruttando i lavoratori con paghe da fame. In tale contesto, la guerra è solo l’esito più evidentemente catastrofico di un sistema sociale, culturale ed economico intrinsecamente distruttivo e biocida (che causa surriscaldamento globale, distruzione della biodiversità, avvelenamento dei mari, dell’aria, della terra, pandemie da zoonosi, ecc.). </w:t>
          </w:r>
        </w:p>
        <w:p>
          <w:pPr>
            <w:pStyle w:val="Normal"/>
            <w:spacing w:lineRule="auto" w:line="240"/>
            <w:jc w:val="both"/>
            <w:rPr/>
          </w:pPr>
          <w:r>
            <w:rPr/>
            <w:t>Tutte le imprese coinvolte nel mercato della produzione di armamenti e di mezzi si stanno arricchendo, dirottando risorse dall’economia civile. L’economia di guerra diventa la continuazione e il prolungamento dell’economia di mercato. Si evidenzia sempre più l’integrazione tra sistemi di “produzione” e sistemi di “distruzione”, in una logica di competizione sempre più distruttiva.</w:t>
          </w:r>
        </w:p>
        <w:p>
          <w:pPr>
            <w:pStyle w:val="Normal"/>
            <w:spacing w:lineRule="auto" w:line="240"/>
            <w:jc w:val="both"/>
            <w:rPr/>
          </w:pPr>
          <w:r>
            <w:rPr>
              <w:b/>
              <w:bCs/>
            </w:rPr>
            <w:t xml:space="preserve">Occorre emanciparsi da tutto ciò che genera la guerra. Essa non è addomesticabile, né regolamentabile, né giurisdizionabile. La guerra è un crimine. Va abolita in radice, attraverso il completo disarmo, a partire dalle armi nucleari, da quelle antiuomo, chimiche, batteriologiche, robotizzate, al fosforo bianco e all’uranio impoverito. </w:t>
          </w:r>
          <w:r>
            <w:rPr/>
            <w:t xml:space="preserve">La sola forma efficace di dissuasione e di prevenzione della guerra è la proibizione dell’uso delle armi. La presenza di centrali nucleari attive o dismesse sul terreno della guerra costituisce di per sé un pericolo su scala globale. Nemmeno le campagne e gli ecosistemi vengono risparmiati dalla furia della guerra, la fauna selvatica viene sterminata. </w:t>
          </w:r>
        </w:p>
        <w:p>
          <w:pPr>
            <w:pStyle w:val="Normal"/>
            <w:spacing w:lineRule="auto" w:line="240"/>
            <w:jc w:val="both"/>
            <w:rPr>
              <w:b/>
              <w:bCs/>
            </w:rPr>
          </w:pPr>
          <w:r>
            <w:rPr>
              <w:b/>
              <w:bCs/>
            </w:rPr>
            <w:t>Come parte del Movimento Internazionale per la giustizia ecologica e sociale ci sentiamo parte del movimento di disobbedienza civile non violento contro la guerra, contro il riarmo e contro il nucleare.</w:t>
          </w:r>
        </w:p>
        <w:p>
          <w:pPr>
            <w:pStyle w:val="Normal"/>
            <w:spacing w:lineRule="auto" w:line="240"/>
            <w:jc w:val="both"/>
            <w:rPr>
              <w:b/>
              <w:bCs/>
            </w:rPr>
          </w:pPr>
          <w:r>
            <w:rPr>
              <w:b/>
              <w:bCs/>
            </w:rPr>
            <w:t>Per far vincere la Pace occorre far leva sulle risorse culturali, sulla ragionevolezza, sull’ethos democratico, sulla volontà di giustizia che animano le persone e che persistono anche quando subiscono oppressione e repressione.</w:t>
          </w:r>
        </w:p>
        <w:p>
          <w:pPr>
            <w:pStyle w:val="Normal"/>
            <w:spacing w:lineRule="auto" w:line="240"/>
            <w:rPr/>
          </w:pPr>
          <w:r>
            <w:rPr/>
            <w:t xml:space="preserve">La discussione del tavolo ha individuato più livelli di intervento. </w:t>
          </w:r>
        </w:p>
        <w:p>
          <w:pPr>
            <w:pStyle w:val="Normal"/>
            <w:spacing w:lineRule="auto" w:line="240"/>
            <w:jc w:val="both"/>
            <w:rPr>
              <w:b/>
              <w:bCs/>
            </w:rPr>
          </w:pPr>
          <w:r>
            <w:rPr>
              <w:b/>
              <w:bCs/>
            </w:rPr>
            <w:t>Locale:</w:t>
          </w:r>
        </w:p>
        <w:p>
          <w:pPr>
            <w:pStyle w:val="Normal"/>
            <w:spacing w:lineRule="auto" w:line="240"/>
            <w:ind w:hanging="420" w:left="704"/>
            <w:jc w:val="both"/>
            <w:rPr>
              <w:b/>
              <w:bCs/>
            </w:rPr>
          </w:pPr>
          <w:r>
            <w:rPr>
              <w:b/>
              <w:bCs/>
            </w:rPr>
            <w:t>4.1</w:t>
            <w:tab/>
            <w:t xml:space="preserve">Fondamentale è la ricostituzione di un tessuto comunitario, aprendo alla società civile i beni comuni per creare spazi di condivisione, in particolare per i giovani, confinati in piccoli gruppi sui social media. </w:t>
          </w:r>
        </w:p>
        <w:p>
          <w:pPr>
            <w:pStyle w:val="Normal"/>
            <w:spacing w:lineRule="auto" w:line="240"/>
            <w:ind w:hanging="704" w:left="704"/>
            <w:jc w:val="both"/>
            <w:rPr/>
          </w:pPr>
          <w:r>
            <w:rPr>
              <w:b/>
              <w:bCs/>
            </w:rPr>
            <w:t>4.1 bis</w:t>
            <w:tab/>
            <w:t xml:space="preserve">Nello spirito della ricostituzione di un tessuto comunitario nelle aree di conflitto e in particolare nella tragedia umanitaria di Gaza, lanciare una campagna di aiuto concreto e di solidarietà dal basso </w:t>
          </w:r>
          <w:r>
            <w:rPr/>
            <w:t xml:space="preserve">per alleviare le sofferenze, in particolare per i bambini traumatizzati dalla guerra. </w:t>
          </w:r>
        </w:p>
        <w:p>
          <w:pPr>
            <w:pStyle w:val="Normal"/>
            <w:spacing w:lineRule="auto" w:line="240"/>
            <w:ind w:hanging="425" w:left="709"/>
            <w:jc w:val="both"/>
            <w:rPr>
              <w:b/>
              <w:bCs/>
            </w:rPr>
          </w:pPr>
          <w:r>
            <w:rPr>
              <w:b/>
              <w:bCs/>
            </w:rPr>
            <w:t>4.2</w:t>
            <w:tab/>
            <w:t xml:space="preserve">Organizzare cicli formativi ed informativi sulle cause delle guerre, promuovendo progetti per favorire i processi di pace, </w:t>
          </w:r>
          <w:r>
            <w:rPr/>
            <w:t>sulla scia di quanto è già in corso di realizzazione nell’ambito dell’iniziativa “I giovani del Mediterraneo per la pace”.</w:t>
          </w:r>
        </w:p>
        <w:p>
          <w:pPr>
            <w:pStyle w:val="Normal"/>
            <w:spacing w:lineRule="auto" w:line="240"/>
            <w:rPr>
              <w:b/>
              <w:bCs/>
            </w:rPr>
          </w:pPr>
          <w:r>
            <w:rPr>
              <w:b/>
              <w:bCs/>
            </w:rPr>
            <w:t>Nazionale:</w:t>
          </w:r>
        </w:p>
        <w:p>
          <w:pPr>
            <w:pStyle w:val="Normal"/>
            <w:spacing w:lineRule="auto" w:line="240"/>
            <w:ind w:hanging="420" w:left="704"/>
            <w:jc w:val="both"/>
            <w:rPr/>
          </w:pPr>
          <w:r>
            <w:rPr>
              <w:b/>
              <w:bCs/>
            </w:rPr>
            <w:t>4.3</w:t>
            <w:tab/>
            <w:t xml:space="preserve">De-colonizzare la politica e l'economia, sostenendo un processo di “restituzione” della integrale sovranità che inizia intervenendo sul debito dei Paesi in via di sviluppo, </w:t>
          </w:r>
          <w:r>
            <w:rPr/>
            <w:t xml:space="preserve">schiacciati e sottomessi dal peso del loro indebitamento. </w:t>
          </w:r>
        </w:p>
        <w:p>
          <w:pPr>
            <w:pStyle w:val="Normal"/>
            <w:spacing w:lineRule="auto" w:line="240"/>
            <w:rPr>
              <w:b/>
              <w:bCs/>
            </w:rPr>
          </w:pPr>
          <w:r>
            <w:rPr>
              <w:b/>
              <w:bCs/>
            </w:rPr>
            <w:t>Europeo:</w:t>
          </w:r>
        </w:p>
        <w:p>
          <w:pPr>
            <w:pStyle w:val="Normal"/>
            <w:spacing w:lineRule="auto" w:line="240"/>
            <w:ind w:hanging="420" w:left="704"/>
            <w:jc w:val="both"/>
            <w:rPr/>
          </w:pPr>
          <w:r>
            <w:rPr>
              <w:b/>
              <w:bCs/>
            </w:rPr>
            <w:t>4.4</w:t>
            <w:tab/>
            <w:t xml:space="preserve">Valorizzazione del ruolo delle Delegazioni UE in particolare in Africa. Esse dovrebbero impostare il loro ruolo come agenti di pace. In particolare, come sentinelle sul commercio delle armi. </w:t>
          </w:r>
          <w:r>
            <w:rPr/>
            <w:t xml:space="preserve">Potrebbero anche disegnarsi un ruolo sul tema delle migrazioni, collaborando nell'attuazione di corridoi sicuri e soprattutto nel dialogo costante con le associazioni e le Ong in loco. </w:t>
          </w:r>
        </w:p>
        <w:p>
          <w:pPr>
            <w:pStyle w:val="Normal"/>
            <w:spacing w:lineRule="auto" w:line="240"/>
            <w:ind w:hanging="420" w:left="704"/>
            <w:jc w:val="both"/>
            <w:rPr>
              <w:b/>
              <w:bCs/>
            </w:rPr>
          </w:pPr>
          <w:r>
            <w:rPr>
              <w:b/>
              <w:bCs/>
            </w:rPr>
            <w:t>4.5</w:t>
            <w:tab/>
            <w:t>Perseguimento del 17º obiettivo dell'agenda ONU sullo sviluppo sostenibile, per sostenere modelli di Partenariato Pubblico Privato.</w:t>
          </w:r>
        </w:p>
        <w:p>
          <w:pPr>
            <w:pStyle w:val="Normal"/>
            <w:spacing w:lineRule="auto" w:line="240"/>
            <w:rPr>
              <w:b/>
              <w:bCs/>
            </w:rPr>
          </w:pPr>
          <w:r>
            <w:rPr>
              <w:b/>
              <w:bCs/>
            </w:rPr>
            <w:t>A livello internazionale:</w:t>
          </w:r>
        </w:p>
        <w:p>
          <w:pPr>
            <w:pStyle w:val="Normal"/>
            <w:spacing w:lineRule="auto" w:line="240"/>
            <w:ind w:hanging="420" w:left="704"/>
            <w:jc w:val="both"/>
            <w:rPr>
              <w:b/>
              <w:bCs/>
            </w:rPr>
          </w:pPr>
          <w:r>
            <w:rPr>
              <w:b/>
              <w:bCs/>
            </w:rPr>
            <w:t>4.6</w:t>
            <w:tab/>
            <w:t xml:space="preserve">E’ urgente la riforma delle Istituzioni Internazionali Politiche ed Economiche che vanno profondamente ripensate </w:t>
          </w:r>
          <w:r>
            <w:rPr/>
            <w:t>per avviare una decolonizzazione dei rapporti internazionali sia sul piano giuridico che economico</w:t>
          </w:r>
          <w:r>
            <w:rPr>
              <w:b/>
              <w:bCs/>
            </w:rPr>
            <w:t>.</w:t>
          </w:r>
        </w:p>
        <w:p>
          <w:pPr>
            <w:pStyle w:val="Normal"/>
            <w:spacing w:lineRule="auto" w:line="240"/>
            <w:ind w:hanging="420" w:left="704"/>
            <w:jc w:val="both"/>
            <w:rPr/>
          </w:pPr>
          <w:r>
            <w:rPr>
              <w:b/>
              <w:bCs/>
            </w:rPr>
            <w:t>4.7</w:t>
            <w:tab/>
            <w:t>Un neo-costituzionalismo fondato sul ruolo dominante della comunità sull’individuo, controbilanciato dal rafforzamento di strumenti di democrazia diretta. Le democrazie liberali hanno dimostrato di essere incapaci di difendere i beni comuni</w:t>
          </w:r>
          <w:r>
            <w:rPr/>
            <w:t>, in particolare il capitale naturale della Terra e i beni immateriali della Pace e della Fraternità tra i popoli.</w:t>
          </w:r>
        </w:p>
        <w:p>
          <w:pPr>
            <w:pStyle w:val="Normal"/>
            <w:jc w:val="both"/>
            <w:rPr/>
          </w:pPr>
          <w:r>
            <w:rPr>
              <w:b/>
              <w:bCs/>
            </w:rPr>
            <w:t xml:space="preserve">C’è bisogno di costruire una piattaforma per una nuova politica estera che abbia seriamene al centro il diritto di restare oltre che quello di emigrare. </w:t>
          </w:r>
          <w:r>
            <w:rPr/>
            <w:t>Avrebbe forse anche più forza la lotta per l’accoglienza, se inserita in un processo che investa risorse nella riduzione e poi nel superamento di questa epocale “deportazione” delle genti d’Africa (e non solo) che non il mare, ma la politica, trasforma in corpi portati dai flutti.</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color w:val="FF0000"/>
            </w:rPr>
            <w:t>D</w:t>
          </w:r>
          <w:r>
            <w:rPr>
              <w:b/>
              <w:bCs/>
            </w:rPr>
            <w:t>isarmare la terra e le economie</w:t>
          </w:r>
        </w:p>
        <w:p>
          <w:pPr>
            <w:pStyle w:val="Normal"/>
            <w:jc w:val="both"/>
            <w:rPr>
              <w:rFonts w:ascii="Calibri" w:hAnsi="Calibri" w:eastAsia="Times New Roman" w:cs="Calibri"/>
              <w:b/>
              <w:bCs/>
              <w:color w:val="000000"/>
              <w:kern w:val="0"/>
              <w:lang w:eastAsia="it-IT"/>
              <w14:ligatures w14:val="none"/>
            </w:rPr>
          </w:pPr>
          <w:r>
            <w:rPr>
              <w:rFonts w:eastAsia="Times New Roman" w:cs="Calibri"/>
              <w:b/>
              <w:bCs/>
              <w:color w:val="000000"/>
              <w:kern w:val="0"/>
              <w:lang w:eastAsia="it-IT"/>
              <w14:ligatures w14:val="none"/>
            </w:rPr>
            <w:t>Il gruppo di lavoro</w:t>
          </w:r>
          <w:r>
            <w:rPr>
              <w:rStyle w:val="FootnoteReference"/>
              <w:rFonts w:eastAsia="Times New Roman" w:cs="Calibri"/>
              <w:b/>
              <w:bCs/>
              <w:color w:val="000000"/>
              <w:kern w:val="0"/>
              <w:lang w:eastAsia="it-IT"/>
              <w14:ligatures w14:val="none"/>
            </w:rPr>
            <w:footnoteReference w:id="11"/>
          </w:r>
          <w:r>
            <w:rPr>
              <w:rFonts w:eastAsia="Times New Roman" w:cs="Calibri"/>
              <w:b/>
              <w:bCs/>
              <w:color w:val="000000"/>
              <w:kern w:val="0"/>
              <w:lang w:eastAsia="it-IT"/>
              <w14:ligatures w14:val="none"/>
            </w:rPr>
            <w:t xml:space="preserve"> ha condiviso le relazioni della mattina del filone tematico “Disarmare la terra e l’economia” e ha sviluppato proposte, anche a partire dalle posizioni espresse dai tre relatori di cui riportiamo di seguito una breve sintesi.</w:t>
          </w:r>
        </w:p>
        <w:p>
          <w:pPr>
            <w:pStyle w:val="Normal"/>
            <w:jc w:val="both"/>
            <w:rPr>
              <w:rFonts w:ascii="Calibri" w:hAnsi="Calibri" w:eastAsia="Times New Roman" w:cs="Calibri"/>
              <w:color w:val="000000"/>
              <w:kern w:val="0"/>
              <w:lang w:eastAsia="it-IT"/>
              <w14:ligatures w14:val="none"/>
            </w:rPr>
          </w:pPr>
          <w:r>
            <w:rPr>
              <w:rFonts w:eastAsia="Times New Roman" w:cs="Calibri"/>
              <w:b/>
              <w:bCs/>
              <w:color w:val="000000"/>
              <w:kern w:val="0"/>
              <w:lang w:eastAsia="it-IT"/>
              <w14:ligatures w14:val="none"/>
            </w:rPr>
            <w:t xml:space="preserve">Vanessa Pallucchi, Vice Presidente di Legambiente, </w:t>
          </w:r>
          <w:r>
            <w:rPr>
              <w:rFonts w:eastAsia="Times New Roman" w:cs="Calibri"/>
              <w:color w:val="000000"/>
              <w:kern w:val="0"/>
              <w:lang w:eastAsia="it-IT"/>
              <w14:ligatures w14:val="none"/>
            </w:rPr>
            <w:t xml:space="preserve">ha affermato che la mappa delle guerre è sovrapponibile ai conflitti per l’accaparramento di materie prime rare e di fonti fossili. </w:t>
          </w:r>
          <w:r>
            <w:rPr>
              <w:rFonts w:eastAsia="Times New Roman" w:cs="Calibri"/>
              <w:b/>
              <w:bCs/>
              <w:color w:val="000000"/>
              <w:kern w:val="0"/>
              <w:lang w:eastAsia="it-IT"/>
              <w14:ligatures w14:val="none"/>
            </w:rPr>
            <w:t xml:space="preserve">Il perseguimento della sostenibilità e della transizione energetica sono quindi strategie per costruire la pace. </w:t>
          </w:r>
          <w:r>
            <w:rPr>
              <w:rFonts w:eastAsia="Times New Roman" w:cs="Calibri"/>
              <w:color w:val="000000"/>
              <w:kern w:val="0"/>
              <w:lang w:eastAsia="it-IT"/>
              <w14:ligatures w14:val="none"/>
            </w:rPr>
            <w:t xml:space="preserve">La sostenibilità è risparmio ed è approvvigionamento energetico di prossimità. Il terzo settore deve lavorare sulla formazione culturale nelle scuole, promuovendo il dialogo nella gestione dei conflitti. Il metro della sostenibilità è la qualità della vita che garantiamo alle generazioni future, pesantemente compromessa dalle guerre. </w:t>
          </w:r>
          <w:r>
            <w:rPr>
              <w:rFonts w:eastAsia="Times New Roman" w:cs="Calibri"/>
              <w:b/>
              <w:bCs/>
              <w:color w:val="000000"/>
              <w:kern w:val="0"/>
              <w:lang w:eastAsia="it-IT"/>
              <w14:ligatures w14:val="none"/>
            </w:rPr>
            <w:t>La giustizia climatica e ambientale, la pace e il rispetto dei diritti umani sono quindi tre direttrici interdipendenti</w:t>
          </w:r>
          <w:r>
            <w:rPr>
              <w:rFonts w:eastAsia="Times New Roman" w:cs="Calibri"/>
              <w:color w:val="000000"/>
              <w:kern w:val="0"/>
              <w:lang w:eastAsia="it-IT"/>
              <w14:ligatures w14:val="none"/>
            </w:rPr>
            <w:t xml:space="preserve"> che vanno perseguite congiuntamente.</w:t>
          </w:r>
        </w:p>
        <w:p>
          <w:pPr>
            <w:pStyle w:val="Normal"/>
            <w:jc w:val="both"/>
            <w:rPr>
              <w:rFonts w:ascii="Calibri" w:hAnsi="Calibri" w:eastAsia="Times New Roman" w:cs="Calibri"/>
              <w:color w:val="000000"/>
              <w:kern w:val="0"/>
              <w:lang w:eastAsia="it-IT"/>
              <w14:ligatures w14:val="none"/>
            </w:rPr>
          </w:pPr>
          <w:r>
            <w:rPr>
              <w:rFonts w:eastAsia="Times New Roman" w:cs="Calibri"/>
              <w:b/>
              <w:bCs/>
              <w:color w:val="000000"/>
              <w:kern w:val="0"/>
              <w:lang w:eastAsia="it-IT"/>
              <w14:ligatures w14:val="none"/>
            </w:rPr>
            <w:t xml:space="preserve">Il Prof. Leonardo Becchetti </w:t>
          </w:r>
          <w:r>
            <w:rPr>
              <w:rFonts w:eastAsia="Times New Roman" w:cs="Calibri"/>
              <w:color w:val="000000"/>
              <w:kern w:val="0"/>
              <w:lang w:eastAsia="it-IT"/>
              <w14:ligatures w14:val="none"/>
            </w:rPr>
            <w:t xml:space="preserve">ha esordito censurando il tradimento dello spirito originario con cui l’Europa è nata nel dopoguerra: la CECA nasceva per la condivisione dell’acciaio e del carbone con cui far ripartire l’industria europea. </w:t>
          </w:r>
          <w:r>
            <w:rPr>
              <w:rFonts w:eastAsia="Times New Roman" w:cs="Calibri"/>
              <w:b/>
              <w:bCs/>
              <w:color w:val="000000"/>
              <w:kern w:val="0"/>
              <w:lang w:eastAsia="it-IT"/>
              <w14:ligatures w14:val="none"/>
            </w:rPr>
            <w:t>Bisogna perseguire cooperazione e generatività</w:t>
          </w:r>
          <w:r>
            <w:rPr>
              <w:rFonts w:eastAsia="Times New Roman" w:cs="Calibri"/>
              <w:color w:val="000000"/>
              <w:kern w:val="0"/>
              <w:lang w:eastAsia="it-IT"/>
              <w14:ligatures w14:val="none"/>
            </w:rPr>
            <w:t xml:space="preserve"> - in contrapposizione a visioni economiche basate sulla competizione e sull’accaparramento di risorse a danno di altri - che sono all’origine dei conflitti. La </w:t>
          </w:r>
          <w:r>
            <w:rPr>
              <w:rFonts w:eastAsia="Times New Roman" w:cs="Calibri"/>
              <w:b/>
              <w:bCs/>
              <w:color w:val="000000"/>
              <w:kern w:val="0"/>
              <w:lang w:eastAsia="it-IT"/>
              <w14:ligatures w14:val="none"/>
            </w:rPr>
            <w:t>spinta dal basso per promuovere la responsabilità sociale delle imprese può venire da attività di azionariato attivo</w:t>
          </w:r>
          <w:r>
            <w:rPr>
              <w:rFonts w:eastAsia="Times New Roman" w:cs="Calibri"/>
              <w:color w:val="000000"/>
              <w:kern w:val="0"/>
              <w:lang w:eastAsia="it-IT"/>
              <w14:ligatures w14:val="none"/>
            </w:rPr>
            <w:t>. I bonus dei manager dovrebbero essere legati al conseguimento di obiettivi sociali e al rispetto in materia di sicurezza sul lavoro, legalità e impatto sociale</w:t>
          </w:r>
          <w:r>
            <w:rPr>
              <w:rFonts w:eastAsia="Times New Roman" w:cs="Calibri"/>
              <w:b/>
              <w:bCs/>
              <w:color w:val="000000"/>
              <w:kern w:val="0"/>
              <w:lang w:eastAsia="it-IT"/>
              <w14:ligatures w14:val="none"/>
            </w:rPr>
            <w:t>. Il modo in cui produciamo l’energia</w:t>
          </w:r>
          <w:r>
            <w:rPr>
              <w:rFonts w:eastAsia="Times New Roman" w:cs="Calibri"/>
              <w:color w:val="000000"/>
              <w:kern w:val="0"/>
              <w:lang w:eastAsia="it-IT"/>
              <w14:ligatures w14:val="none"/>
            </w:rPr>
            <w:t xml:space="preserve">, in maniera decentrata e attraverso la costruzione di comunità energetiche rinnovabili, </w:t>
          </w:r>
          <w:r>
            <w:rPr>
              <w:rFonts w:eastAsia="Times New Roman" w:cs="Calibri"/>
              <w:b/>
              <w:bCs/>
              <w:color w:val="000000"/>
              <w:kern w:val="0"/>
              <w:lang w:eastAsia="it-IT"/>
              <w14:ligatures w14:val="none"/>
            </w:rPr>
            <w:t>ha un impatto positivo sulla pace, sull’autonomia strategica del Paese e sui rapporti internazionali</w:t>
          </w:r>
          <w:r>
            <w:rPr>
              <w:rFonts w:eastAsia="Times New Roman" w:cs="Calibri"/>
              <w:color w:val="000000"/>
              <w:kern w:val="0"/>
              <w:lang w:eastAsia="it-IT"/>
              <w14:ligatures w14:val="none"/>
            </w:rPr>
            <w:t xml:space="preserve">. Bisogna favorire un’economia basata sulla cooperazione, in cui le migrazioni siano viste come una risorsa. Con Next – Nuova Economia X tutti – fin dalla fondazione nel 2011, abbiamo creato alleanze e sinergie tra vari </w:t>
          </w:r>
          <w:r>
            <w:rPr>
              <w:rFonts w:eastAsia="Times New Roman" w:cs="Calibri"/>
              <w:i/>
              <w:iCs/>
              <w:color w:val="000000"/>
              <w:kern w:val="0"/>
              <w:lang w:eastAsia="it-IT"/>
              <w14:ligatures w14:val="none"/>
            </w:rPr>
            <w:t>stakeholder</w:t>
          </w:r>
          <w:r>
            <w:rPr>
              <w:rFonts w:eastAsia="Times New Roman" w:cs="Calibri"/>
              <w:color w:val="000000"/>
              <w:kern w:val="0"/>
              <w:lang w:eastAsia="it-IT"/>
              <w14:ligatures w14:val="none"/>
            </w:rPr>
            <w:t xml:space="preserve">. Le relazioni scaturite anche grazie all’insegnamento di Economia dello sviluppo e della cooperazione internazionale, hanno generato vari progetti di finanza sostenibile, creando le condizioni per il dialogo tra vari portatori d’interessi, contrastando la polarizzazione delle idee. </w:t>
          </w:r>
          <w:r>
            <w:rPr>
              <w:rFonts w:eastAsia="Times New Roman" w:cs="Calibri"/>
              <w:b/>
              <w:bCs/>
              <w:color w:val="000000"/>
              <w:kern w:val="0"/>
              <w:lang w:eastAsia="it-IT"/>
              <w14:ligatures w14:val="none"/>
            </w:rPr>
            <w:t xml:space="preserve">La logica del dialogo è fondamentale se c’è un conflitto in corso. </w:t>
          </w:r>
          <w:r>
            <w:rPr>
              <w:rFonts w:eastAsia="Times New Roman" w:cs="Calibri"/>
              <w:color w:val="000000"/>
              <w:kern w:val="0"/>
              <w:lang w:eastAsia="it-IT"/>
              <w14:ligatures w14:val="none"/>
            </w:rPr>
            <w:t>Bisogna agire sulla de-escalation, come fece Desmond Tutu, con i tavoli riparativi in Sudafrica, risolvendo anche con il sostegno economico il superamento dei conflitti.</w:t>
          </w:r>
        </w:p>
        <w:p>
          <w:pPr>
            <w:pStyle w:val="Normal"/>
            <w:shd w:val="clear" w:color="auto" w:fill="FFFFFF"/>
            <w:jc w:val="both"/>
            <w:rPr>
              <w:rFonts w:ascii="Calibri" w:hAnsi="Calibri" w:eastAsia="Times New Roman" w:cs="Calibri"/>
              <w:color w:val="000000"/>
              <w:kern w:val="0"/>
              <w:lang w:eastAsia="it-IT"/>
              <w14:ligatures w14:val="none"/>
            </w:rPr>
          </w:pPr>
          <w:r>
            <w:rPr>
              <w:rFonts w:eastAsia="Times New Roman" w:cs="Calibri"/>
              <w:b/>
              <w:bCs/>
              <w:color w:val="000000"/>
              <w:kern w:val="0"/>
              <w:lang w:eastAsia="it-IT"/>
              <w14:ligatures w14:val="none"/>
            </w:rPr>
            <w:t>Il Prof. Zamagni ha rilanciato la definizione di Johan Galtung di pace positiva, come realizzazione di tutte le potenzialità umane (economiche, sociali e ambientali) per costruire la pace, contrapposta al concetto di pace negativa come mera assenza di guerra</w:t>
          </w:r>
          <w:r>
            <w:rPr>
              <w:rFonts w:eastAsia="Times New Roman" w:cs="Calibri"/>
              <w:color w:val="000000"/>
              <w:kern w:val="0"/>
              <w:lang w:eastAsia="it-IT"/>
              <w14:ligatures w14:val="none"/>
            </w:rPr>
            <w:t xml:space="preserve">. Ha affermato che le democrazie autentiche si misurano dalla volontà di perseguire la concordia. Attraverso assetti istituzionali autenticamente democratici e politiche non belligere - di cui sono esempi negativi i paradisi fiscali o il </w:t>
          </w:r>
          <w:r>
            <w:rPr>
              <w:rFonts w:eastAsia="Times New Roman" w:cs="Calibri"/>
              <w:i/>
              <w:iCs/>
              <w:color w:val="000000"/>
              <w:kern w:val="0"/>
              <w:lang w:eastAsia="it-IT"/>
              <w14:ligatures w14:val="none"/>
            </w:rPr>
            <w:t>land grabbing</w:t>
          </w:r>
          <w:r>
            <w:rPr>
              <w:rFonts w:eastAsia="Times New Roman" w:cs="Calibri"/>
              <w:color w:val="000000"/>
              <w:kern w:val="0"/>
              <w:lang w:eastAsia="it-IT"/>
              <w14:ligatures w14:val="none"/>
            </w:rPr>
            <w:t xml:space="preserve"> o altre pratiche predatorie che alimentano i conflitti - si persegue la pace positiva. Organizzazioni sovranazionali come l’Fondo Monetario Internazionale e la Banca Mondiale sono nate in epoche in cui il retaggio coloniale era ancora dominante. Mentre il Sud Globale da tempo rivendica la necessità di rivedere la governance di queste istituzioni, l’Occidente collettivo vuole continuare a imporre un equilibrio unipolare ed egemonico nei confronti del resto del mondo, resistendo al multilateralismo. </w:t>
          </w:r>
          <w:r>
            <w:rPr>
              <w:rFonts w:eastAsia="Times New Roman" w:cs="Calibri"/>
              <w:b/>
              <w:bCs/>
              <w:color w:val="000000"/>
              <w:kern w:val="0"/>
              <w:lang w:eastAsia="it-IT"/>
              <w14:ligatures w14:val="none"/>
            </w:rPr>
            <w:t>E’ quindi necessario accompagnare questo riequilibrio, per perseguire la de-escalation planetaria. Il 20-22 Settembre 2024, nella sede delle Nazioni Unite di New York, si terrà il Summit sul Futuro, in cui si discuteranno “</w:t>
          </w:r>
          <w:r>
            <w:rPr>
              <w:rFonts w:cs="Calibri"/>
              <w:b/>
              <w:bCs/>
              <w:i/>
              <w:iCs/>
              <w:color w:val="000000"/>
            </w:rPr>
            <w:t>Multilateral solutions for a better tomorrow</w:t>
          </w:r>
          <w:r>
            <w:rPr>
              <w:rFonts w:cs="Calibri"/>
              <w:b/>
              <w:bCs/>
              <w:color w:val="000000"/>
            </w:rPr>
            <w:t>”.</w:t>
          </w:r>
          <w:r>
            <w:rPr>
              <w:rFonts w:cs="Calibri"/>
              <w:color w:val="000000"/>
            </w:rPr>
            <w:t xml:space="preserve"> In quella occasione hanno chiesto al </w:t>
          </w:r>
          <w:r>
            <w:rPr>
              <w:rFonts w:cs="Calibri"/>
              <w:b/>
              <w:bCs/>
              <w:color w:val="000000"/>
            </w:rPr>
            <w:t>Prof. Zamagni di presentare una proposta - già formulata da tempo in altri consessi internazionali - sull’istituzione di</w:t>
          </w:r>
          <w:r>
            <w:rPr>
              <w:rFonts w:eastAsia="Times New Roman" w:cs="Calibri"/>
              <w:b/>
              <w:bCs/>
              <w:color w:val="000000"/>
              <w:kern w:val="0"/>
              <w:lang w:eastAsia="it-IT"/>
              <w14:ligatures w14:val="none"/>
            </w:rPr>
            <w:t xml:space="preserve"> una seconda assemblea ONU che faccia da contraltare all’Assemblea degli Stati</w:t>
          </w:r>
          <w:r>
            <w:rPr>
              <w:rFonts w:eastAsia="Times New Roman" w:cs="Calibri"/>
              <w:color w:val="000000"/>
              <w:kern w:val="0"/>
              <w:lang w:eastAsia="it-IT"/>
              <w14:ligatures w14:val="none"/>
            </w:rPr>
            <w:t xml:space="preserve"> e che sia espressione della società civile, che anela la pace e la fratellanza tra i popoli.</w:t>
          </w:r>
        </w:p>
        <w:p>
          <w:pPr>
            <w:pStyle w:val="Normal"/>
            <w:shd w:val="clear" w:color="auto" w:fill="FFFFFF"/>
            <w:jc w:val="both"/>
            <w:rPr>
              <w:rFonts w:eastAsia="Times New Roman" w:cs="Calibri"/>
              <w:b/>
              <w:bCs/>
              <w:color w:val="000000"/>
              <w:kern w:val="0"/>
              <w:lang w:eastAsia="it-IT"/>
              <w14:ligatures w14:val="none"/>
            </w:rPr>
          </w:pPr>
          <w:r>
            <w:rPr>
              <w:rFonts w:eastAsia="Times New Roman" w:cs="Calibri"/>
              <w:color w:val="000000"/>
              <w:kern w:val="0"/>
              <w:lang w:eastAsia="it-IT"/>
              <w14:ligatures w14:val="none"/>
            </w:rPr>
            <w:t>Nel pomeriggio il gruppo di lavoro ha inizialmente convenuto sulla debolezza che deriva dalle divisioni all’interno dei movimenti e</w:t>
          </w:r>
          <w:r>
            <w:rPr>
              <w:rFonts w:eastAsia="Times New Roman" w:cs="Calibri"/>
              <w:b/>
              <w:bCs/>
              <w:color w:val="000000"/>
              <w:kern w:val="0"/>
              <w:lang w:eastAsia="it-IT"/>
              <w14:ligatures w14:val="none"/>
            </w:rPr>
            <w:t xml:space="preserve"> sulla necessità di favorire il dialogo tra diversi, che questo appuntamento del 24/02/24 ha avviato. Ha poi individuato una certa influenza egemonica della cultura anglosassone - di USA e Gran Bretagna - </w:t>
          </w:r>
          <w:r>
            <w:rPr>
              <w:rFonts w:eastAsia="Times New Roman" w:cs="Calibri"/>
              <w:color w:val="000000"/>
              <w:kern w:val="0"/>
              <w:lang w:eastAsia="it-IT"/>
              <w14:ligatures w14:val="none"/>
            </w:rPr>
            <w:t>nella cultura e nei mezzi d’informazione, non priva di spinte neocoloniali e fortemente influenzate dall’industria bellica.</w:t>
          </w:r>
          <w:r>
            <w:rPr>
              <w:rFonts w:eastAsia="Times New Roman" w:cs="Calibri"/>
              <w:b/>
              <w:bCs/>
              <w:color w:val="000000"/>
              <w:kern w:val="0"/>
              <w:lang w:eastAsia="it-IT"/>
              <w14:ligatures w14:val="none"/>
            </w:rPr>
            <w:t xml:space="preserve"> “I Marines vivono come fossero sempre in guerra”, è stato detto. </w:t>
          </w:r>
        </w:p>
        <w:p>
          <w:pPr>
            <w:pStyle w:val="Normal"/>
            <w:shd w:val="clear" w:color="auto" w:fill="FFFFFF"/>
            <w:jc w:val="both"/>
            <w:rPr>
              <w:rFonts w:ascii="Calibri" w:hAnsi="Calibri" w:eastAsia="Times New Roman" w:cs="Calibri"/>
              <w:color w:val="000000"/>
              <w:kern w:val="0"/>
              <w:lang w:eastAsia="it-IT"/>
              <w14:ligatures w14:val="none"/>
            </w:rPr>
          </w:pPr>
          <w:r>
            <w:rPr>
              <w:rFonts w:eastAsia="Times New Roman" w:cs="Calibri"/>
              <w:color w:val="000000"/>
              <w:kern w:val="0"/>
              <w:lang w:eastAsia="it-IT"/>
              <w14:ligatures w14:val="none"/>
            </w:rPr>
            <w:t>Di seguito le proposte formulate:</w:t>
          </w:r>
        </w:p>
        <w:p>
          <w:pPr>
            <w:pStyle w:val="Normal"/>
            <w:shd w:val="clear" w:color="auto" w:fill="FFFFFF"/>
            <w:ind w:hanging="425" w:left="709"/>
            <w:jc w:val="both"/>
            <w:rPr>
              <w:rFonts w:eastAsia="Times New Roman" w:cs="Calibri"/>
              <w:b/>
              <w:bCs/>
              <w:color w:val="000000"/>
              <w:kern w:val="0"/>
              <w:lang w:eastAsia="it-IT"/>
              <w14:ligatures w14:val="none"/>
            </w:rPr>
          </w:pPr>
          <w:r>
            <w:rPr>
              <w:rFonts w:eastAsia="Times New Roman" w:cs="Calibri"/>
              <w:b/>
              <w:bCs/>
              <w:color w:val="000000"/>
              <w:kern w:val="0"/>
              <w:lang w:eastAsia="it-IT"/>
              <w14:ligatures w14:val="none"/>
            </w:rPr>
            <w:t>5.1</w:t>
            <w:tab/>
            <w:t>L’approccio bellicista va contrastato prima di tutto sul piano culturale, in favore di un approccio non violento di stampo Ghandiano. Bisogna promuovere e solidarizzare con l’approccio di economia integrale che impone un “no alla guerra…follia senza scuse”.…”no e ancora no agli armamenti”</w:t>
          </w:r>
          <w:r>
            <w:rPr>
              <w:rFonts w:eastAsia="Times New Roman" w:cs="Calibri"/>
              <w:color w:val="000000"/>
              <w:kern w:val="0"/>
              <w:lang w:eastAsia="it-IT"/>
              <w14:ligatures w14:val="none"/>
            </w:rPr>
            <w:t>, la cui produzione e commercio muovono i fili di ogni guerra a vantaggio di pochi e scapito di molti che non vogliono armi ma solo “pane”.</w:t>
          </w:r>
        </w:p>
        <w:p>
          <w:pPr>
            <w:pStyle w:val="Normal"/>
            <w:ind w:hanging="425" w:left="709"/>
            <w:jc w:val="both"/>
            <w:rPr>
              <w:rFonts w:ascii="Calibri" w:hAnsi="Calibri" w:eastAsia="Times New Roman" w:cs="Calibri"/>
              <w:b/>
              <w:bCs/>
              <w:color w:val="000000"/>
              <w:kern w:val="0"/>
              <w:lang w:eastAsia="it-IT"/>
              <w14:ligatures w14:val="none"/>
            </w:rPr>
          </w:pPr>
          <w:r>
            <w:rPr>
              <w:rFonts w:eastAsia="Times New Roman" w:cs="Calibri"/>
              <w:b/>
              <w:bCs/>
              <w:color w:val="000000"/>
              <w:kern w:val="0"/>
              <w:lang w:eastAsia="it-IT"/>
              <w14:ligatures w14:val="none"/>
            </w:rPr>
            <w:t>5.2</w:t>
            <w:tab/>
          </w:r>
          <w:r>
            <w:rPr>
              <w:rFonts w:eastAsia="Times New Roman" w:cs="Calibri"/>
              <w:color w:val="000000"/>
              <w:kern w:val="0"/>
              <w:lang w:eastAsia="it-IT"/>
              <w14:ligatures w14:val="none"/>
            </w:rPr>
            <w:t xml:space="preserve">Una linea d’azione individuata è stata quella di contrastare la spinta al rilancio dell’industria bellica, sia sul piano culturale, sia su quello economico. Ciò anche per </w:t>
          </w:r>
          <w:r>
            <w:rPr>
              <w:rFonts w:eastAsia="Times New Roman" w:cs="Calibri"/>
              <w:b/>
              <w:bCs/>
              <w:color w:val="000000"/>
              <w:kern w:val="0"/>
              <w:lang w:eastAsia="it-IT"/>
              <w14:ligatures w14:val="none"/>
            </w:rPr>
            <w:t>l’inconciliabilità tra un’economia di guerra e gli obiettivi di decarbonizzazione che l’Europa s’è data. Vanno quindi individuate iniziative culturali e di formazione, anche nelle scuole, che uniscano il tema della pace a quello della crisi climatica e ambientale. Pace e giustizia ambientale e climatica devono saldarsi in un’unica campagna.</w:t>
          </w:r>
        </w:p>
        <w:p>
          <w:pPr>
            <w:pStyle w:val="Normal"/>
            <w:shd w:val="clear" w:color="auto" w:fill="FFFFFF"/>
            <w:ind w:hanging="425" w:left="709"/>
            <w:jc w:val="both"/>
            <w:rPr>
              <w:rFonts w:ascii="Calibri" w:hAnsi="Calibri" w:eastAsia="Times New Roman" w:cs="Calibri"/>
              <w:b/>
              <w:bCs/>
              <w:color w:val="000000"/>
              <w:kern w:val="0"/>
              <w:lang w:eastAsia="it-IT"/>
              <w14:ligatures w14:val="none"/>
            </w:rPr>
          </w:pPr>
          <w:r>
            <w:rPr>
              <w:rFonts w:eastAsia="Times New Roman" w:cs="Calibri"/>
              <w:b/>
              <w:bCs/>
              <w:color w:val="000000"/>
              <w:kern w:val="0"/>
              <w:lang w:eastAsia="it-IT"/>
              <w14:ligatures w14:val="none"/>
            </w:rPr>
            <w:t>5.3</w:t>
            <w:tab/>
            <w:t xml:space="preserve">Bisogna inoltre promuovere il contenimento e la riconversione del settore bellico. L’illusione che un mondo più armato sia un mondo più sicuro e più in pace è fallace ed è stata smentita dalla storia. </w:t>
          </w:r>
          <w:r>
            <w:rPr>
              <w:rFonts w:eastAsia="Times New Roman" w:cs="Calibri"/>
              <w:color w:val="000000"/>
              <w:kern w:val="0"/>
              <w:lang w:eastAsia="it-IT"/>
              <w14:ligatures w14:val="none"/>
            </w:rPr>
            <w:t>Nel novembre 2023, i Ministri della Difesa dei Paesi UE hanno approvato una dichiarazione congiunta sul rafforzamento dell’accesso dell’industria della difesa ai finanziamenti, in nome della sua presunta capacità di contribuire alla pace, alla stabilità e alla sostenibilità in Europa. Queste dichiarazioni mistificatorie vanno contrastate con prese di posizioni pubbliche e una pubblicistica che smentisca questi falsi nessi causali</w:t>
          </w:r>
          <w:r>
            <w:rPr>
              <w:rFonts w:eastAsia="Times New Roman" w:cs="Calibri"/>
              <w:b/>
              <w:bCs/>
              <w:color w:val="000000"/>
              <w:kern w:val="0"/>
              <w:lang w:eastAsia="it-IT"/>
              <w14:ligatures w14:val="none"/>
            </w:rPr>
            <w:t>.</w:t>
          </w:r>
        </w:p>
        <w:p>
          <w:pPr>
            <w:pStyle w:val="Normal"/>
            <w:ind w:hanging="425" w:left="709"/>
            <w:jc w:val="both"/>
            <w:rPr>
              <w:rFonts w:ascii="Calibri" w:hAnsi="Calibri" w:eastAsia="Times New Roman" w:cs="Calibri"/>
              <w:b/>
              <w:bCs/>
              <w:color w:val="000000"/>
              <w:kern w:val="0"/>
              <w:lang w:eastAsia="it-IT"/>
              <w14:ligatures w14:val="none"/>
            </w:rPr>
          </w:pPr>
          <w:r>
            <w:rPr>
              <w:rFonts w:eastAsia="Times New Roman" w:cs="Calibri"/>
              <w:b/>
              <w:bCs/>
              <w:color w:val="000000"/>
              <w:kern w:val="0"/>
              <w:lang w:eastAsia="it-IT"/>
              <w14:ligatures w14:val="none"/>
            </w:rPr>
            <w:t>5.4</w:t>
            <w:tab/>
            <w:t xml:space="preserve">La riforma - il cui iter parlamentare è in corso - della Legge 185/1990 che impone trasparenza sui finanziamenti al settore bellico, va pure contrastata, </w:t>
          </w:r>
          <w:r>
            <w:rPr>
              <w:rFonts w:eastAsia="Times New Roman" w:cs="Calibri"/>
              <w:color w:val="000000"/>
              <w:kern w:val="0"/>
              <w:lang w:eastAsia="it-IT"/>
              <w14:ligatures w14:val="none"/>
            </w:rPr>
            <w:t>perché renderebbe più complicate attività di azionariato attivo nelle banche, che il Prof. Becchetti ha citato in mattinata come una pratica molto incisiva.</w:t>
          </w:r>
          <w:r>
            <w:rPr>
              <w:rFonts w:eastAsia="Times New Roman" w:cs="Calibri"/>
              <w:b/>
              <w:bCs/>
              <w:color w:val="000000"/>
              <w:kern w:val="0"/>
              <w:lang w:eastAsia="it-IT"/>
              <w14:ligatures w14:val="none"/>
            </w:rPr>
            <w:t xml:space="preserve"> </w:t>
          </w:r>
        </w:p>
        <w:p>
          <w:pPr>
            <w:pStyle w:val="Normal"/>
            <w:ind w:hanging="425" w:left="709"/>
            <w:jc w:val="both"/>
            <w:rPr>
              <w:rFonts w:ascii="Calibri" w:hAnsi="Calibri" w:eastAsia="Times New Roman" w:cs="Calibri"/>
              <w:color w:val="000000"/>
              <w:kern w:val="0"/>
              <w:lang w:eastAsia="it-IT"/>
              <w14:ligatures w14:val="none"/>
            </w:rPr>
          </w:pPr>
          <w:r>
            <w:rPr>
              <w:rFonts w:eastAsia="Times New Roman" w:cs="Calibri"/>
              <w:b/>
              <w:bCs/>
              <w:color w:val="000000"/>
              <w:kern w:val="0"/>
              <w:lang w:eastAsia="it-IT"/>
              <w14:ligatures w14:val="none"/>
            </w:rPr>
            <w:t>5.5</w:t>
            <w:tab/>
            <w:t>Vanno organizzate iniziative tese ad allargare la platea di istituzioni finanziarie che possano aderire a prospettive di sviluppo strategico coerenti con la finanza sostenibile, secondo la tassonomia europea</w:t>
          </w:r>
          <w:r>
            <w:rPr>
              <w:rStyle w:val="FootnoteReference"/>
              <w:rFonts w:eastAsia="Times New Roman" w:cs="Calibri"/>
              <w:b/>
              <w:bCs/>
              <w:color w:val="000000"/>
              <w:kern w:val="0"/>
              <w:lang w:eastAsia="it-IT"/>
              <w14:ligatures w14:val="none"/>
            </w:rPr>
            <w:footnoteReference w:id="12"/>
          </w:r>
          <w:r>
            <w:rPr>
              <w:rFonts w:eastAsia="Times New Roman" w:cs="Calibri"/>
              <w:b/>
              <w:bCs/>
              <w:color w:val="000000"/>
              <w:kern w:val="0"/>
              <w:lang w:eastAsia="it-IT"/>
              <w14:ligatures w14:val="none"/>
            </w:rPr>
            <w:t xml:space="preserve"> e che escludano gli armamenti dai loro regolamenti interni nelle scelte allocative del credito, </w:t>
          </w:r>
          <w:r>
            <w:rPr>
              <w:rFonts w:eastAsia="Times New Roman" w:cs="Calibri"/>
              <w:color w:val="000000"/>
              <w:kern w:val="0"/>
              <w:lang w:eastAsia="it-IT"/>
              <w14:ligatures w14:val="none"/>
            </w:rPr>
            <w:t>rendendo il finanziamento delle armi non solo eticamente inammissibile, ma dannoso dal punto di vista reputazionale.</w:t>
          </w:r>
        </w:p>
        <w:p>
          <w:pPr>
            <w:pStyle w:val="Normal"/>
            <w:ind w:hanging="425" w:left="709"/>
            <w:jc w:val="both"/>
            <w:rPr>
              <w:rFonts w:ascii="Calibri" w:hAnsi="Calibri" w:eastAsia="Times New Roman" w:cs="Calibri"/>
              <w:color w:val="000000"/>
              <w:kern w:val="0"/>
              <w:lang w:eastAsia="it-IT"/>
              <w14:ligatures w14:val="none"/>
            </w:rPr>
          </w:pPr>
          <w:r>
            <w:rPr>
              <w:rFonts w:eastAsia="Times New Roman" w:cs="Calibri"/>
              <w:b/>
              <w:bCs/>
              <w:color w:val="000000"/>
              <w:kern w:val="0"/>
              <w:lang w:eastAsia="it-IT"/>
              <w14:ligatures w14:val="none"/>
            </w:rPr>
            <w:t>5.6</w:t>
            <w:tab/>
          </w:r>
          <w:r>
            <w:rPr>
              <w:rFonts w:eastAsia="Times New Roman" w:cs="Calibri"/>
              <w:color w:val="000000"/>
              <w:kern w:val="0"/>
              <w:lang w:eastAsia="it-IT"/>
              <w14:ligatures w14:val="none"/>
            </w:rPr>
            <w:t>Altri concetti da</w:t>
          </w:r>
          <w:r>
            <w:rPr>
              <w:rFonts w:eastAsia="Times New Roman" w:cs="Calibri"/>
              <w:b/>
              <w:bCs/>
              <w:color w:val="000000"/>
              <w:kern w:val="0"/>
              <w:lang w:eastAsia="it-IT"/>
              <w14:ligatures w14:val="none"/>
            </w:rPr>
            <w:t xml:space="preserve"> promuovere </w:t>
          </w:r>
          <w:r>
            <w:rPr>
              <w:rFonts w:eastAsia="Times New Roman" w:cs="Calibri"/>
              <w:color w:val="000000"/>
              <w:kern w:val="0"/>
              <w:lang w:eastAsia="it-IT"/>
              <w14:ligatures w14:val="none"/>
            </w:rPr>
            <w:t>in future iniziative sono quelle che veicolano</w:t>
          </w:r>
          <w:r>
            <w:rPr>
              <w:rFonts w:eastAsia="Times New Roman" w:cs="Calibri"/>
              <w:b/>
              <w:bCs/>
              <w:color w:val="000000"/>
              <w:kern w:val="0"/>
              <w:lang w:eastAsia="it-IT"/>
              <w14:ligatures w14:val="none"/>
            </w:rPr>
            <w:t xml:space="preserve"> il nesso di causalità tra pace e lavoro giusto, tra pace e inclusione lavorativa, tra guerre commerciali/valutarie e guerre guerreggiate. Tutte le forme di economia estrattiva (come il </w:t>
          </w:r>
          <w:r>
            <w:rPr>
              <w:rFonts w:eastAsia="Times New Roman" w:cs="Calibri"/>
              <w:b/>
              <w:bCs/>
              <w:i/>
              <w:iCs/>
              <w:color w:val="000000"/>
              <w:kern w:val="0"/>
              <w:lang w:eastAsia="it-IT"/>
              <w14:ligatures w14:val="none"/>
            </w:rPr>
            <w:t>land grabbing</w:t>
          </w:r>
          <w:r>
            <w:rPr>
              <w:rFonts w:eastAsia="Times New Roman" w:cs="Calibri"/>
              <w:b/>
              <w:bCs/>
              <w:color w:val="000000"/>
              <w:kern w:val="0"/>
              <w:lang w:eastAsia="it-IT"/>
              <w14:ligatures w14:val="none"/>
            </w:rPr>
            <w:t>, i paradisi fiscali, l’elusione fiscale e le rendite oligopolistiche dei giganti del web, ecc.) sono all’origine dei conflitti</w:t>
          </w:r>
          <w:r>
            <w:rPr>
              <w:rFonts w:eastAsia="Times New Roman" w:cs="Calibri"/>
              <w:color w:val="000000"/>
              <w:kern w:val="0"/>
              <w:lang w:eastAsia="it-IT"/>
              <w14:ligatures w14:val="none"/>
            </w:rPr>
            <w:t xml:space="preserve">, perché in contrasto con un’equa distribuzione del reddito e delle ricchezze a livello globale. </w:t>
          </w:r>
        </w:p>
        <w:p>
          <w:pPr>
            <w:pStyle w:val="Normal"/>
            <w:ind w:hanging="425" w:left="709"/>
            <w:jc w:val="both"/>
            <w:rPr>
              <w:rFonts w:ascii="Calibri" w:hAnsi="Calibri" w:eastAsia="Times New Roman" w:cs="Calibri"/>
              <w:b/>
              <w:bCs/>
              <w:color w:val="000000"/>
              <w:kern w:val="0"/>
              <w:lang w:eastAsia="it-IT"/>
              <w14:ligatures w14:val="none"/>
            </w:rPr>
          </w:pPr>
          <w:r>
            <w:rPr>
              <w:rFonts w:eastAsia="Times New Roman" w:cs="Calibri"/>
              <w:b/>
              <w:bCs/>
              <w:color w:val="000000"/>
              <w:kern w:val="0"/>
              <w:lang w:eastAsia="it-IT"/>
              <w14:ligatures w14:val="none"/>
            </w:rPr>
            <w:t>5.7</w:t>
            <w:tab/>
            <w:t xml:space="preserve">La cooperazione, le imprese sociali, le comunità energetiche, i nuovi paradigmi di produzione e consumo sostenibile, favorendo la dignità dei lavoratori, il soddisfacimento dei bisogni fondamentali della persona, l’accoglienza dei migranti e la riattivazione del senso di comunità, sono altrettanti antidoti ai conflitti che generano guerre. Casi pilota di virtuosi di economia generativa che traccino “vie per fare la pace” dovrebbero essere monitorati, valorizzati, pubblicizzati e messi in rete, </w:t>
          </w:r>
          <w:r>
            <w:rPr>
              <w:rFonts w:eastAsia="Times New Roman" w:cs="Calibri"/>
              <w:color w:val="000000"/>
              <w:kern w:val="0"/>
              <w:lang w:eastAsia="it-IT"/>
              <w14:ligatures w14:val="none"/>
            </w:rPr>
            <w:t>creando filiere formative che promuovano e replichino i casi di economia socialmente virtuosa; una qualche forma di collaborazione attiva con NeXt potrebbe essere una delle modalità di realizzarla, soprattutto con riferimento a quei casi in cui l’accoglienza e l’accompagnamento solidale delle minoranze verso l’autonomia esprime di per sé una “via per fare la pace” all’interno delle nostre democrazie</w:t>
          </w:r>
          <w:r>
            <w:rPr>
              <w:rFonts w:eastAsia="Times New Roman" w:cs="Calibri"/>
              <w:b/>
              <w:bCs/>
              <w:color w:val="000000"/>
              <w:kern w:val="0"/>
              <w:lang w:eastAsia="it-IT"/>
              <w14:ligatures w14:val="none"/>
            </w:rPr>
            <w:t>.</w:t>
          </w:r>
        </w:p>
        <w:p>
          <w:pPr>
            <w:pStyle w:val="Normal"/>
            <w:ind w:hanging="425" w:left="709"/>
            <w:jc w:val="both"/>
            <w:rPr>
              <w:rFonts w:ascii="Calibri" w:hAnsi="Calibri" w:eastAsia="Times New Roman" w:cs="Calibri"/>
              <w:b/>
              <w:bCs/>
              <w:color w:val="000000"/>
              <w:kern w:val="0"/>
              <w:lang w:eastAsia="it-IT"/>
              <w14:ligatures w14:val="none"/>
            </w:rPr>
          </w:pPr>
          <w:r>
            <w:rPr>
              <w:rFonts w:eastAsia="Times New Roman" w:cs="Calibri"/>
              <w:b/>
              <w:bCs/>
              <w:color w:val="000000"/>
              <w:kern w:val="0"/>
              <w:lang w:eastAsia="it-IT"/>
              <w14:ligatures w14:val="none"/>
            </w:rPr>
            <w:t>5.8</w:t>
            <w:tab/>
          </w:r>
          <w:r>
            <w:rPr>
              <w:rFonts w:eastAsia="Times New Roman" w:cs="Calibri"/>
              <w:color w:val="000000"/>
              <w:kern w:val="0"/>
              <w:lang w:eastAsia="it-IT"/>
              <w14:ligatures w14:val="none"/>
            </w:rPr>
            <w:t xml:space="preserve">Un’ulteriore azione da intraprendere va nella direzione di </w:t>
          </w:r>
          <w:r>
            <w:rPr>
              <w:rFonts w:eastAsia="Times New Roman" w:cs="Calibri"/>
              <w:b/>
              <w:bCs/>
              <w:color w:val="000000"/>
              <w:kern w:val="0"/>
              <w:lang w:eastAsia="it-IT"/>
              <w14:ligatures w14:val="none"/>
            </w:rPr>
            <w:t xml:space="preserve">creare un fronte ampio di pacificatori a sostegno della proposta di riforma dell’ONU, di cui è promotore il Professor Zamagni. </w:t>
          </w:r>
        </w:p>
        <w:p>
          <w:pPr>
            <w:pStyle w:val="Normal"/>
            <w:ind w:hanging="425" w:left="709"/>
            <w:jc w:val="both"/>
            <w:rPr>
              <w:rFonts w:ascii="Calibri" w:hAnsi="Calibri" w:eastAsia="Times New Roman" w:cs="Calibri"/>
              <w:b/>
              <w:bCs/>
              <w:color w:val="000000"/>
              <w:kern w:val="0"/>
              <w:lang w:eastAsia="it-IT"/>
              <w14:ligatures w14:val="none"/>
            </w:rPr>
          </w:pPr>
          <w:r>
            <w:rPr>
              <w:rFonts w:eastAsia="Times New Roman" w:cs="Calibri"/>
              <w:b/>
              <w:bCs/>
              <w:color w:val="000000"/>
              <w:kern w:val="0"/>
              <w:lang w:eastAsia="it-IT"/>
              <w14:ligatures w14:val="none"/>
            </w:rPr>
            <w:t>5.9</w:t>
            <w:tab/>
            <w:t>Andrebbe inoltre proposta l’istituzione di un’Agenzia indipendente che abbia lo scopo di monitorare in continuo i costi degli attacchi bellici, compiuti dagli Stati, ai danni delle infrastrutture civili (scuole, ospedali, ambulanze, luoghi di culto, campi profughi, ecc.). Ciò per invertire l’inaccettabile aumento di vittime civili nelle guerre contemporanee, attraverso l’addebito di costi e sanzioni internazionali agli Stati che si sono macchiati di tali atti</w:t>
          </w:r>
          <w:r>
            <w:rPr>
              <w:rFonts w:eastAsia="Times New Roman" w:cs="Calibri"/>
              <w:color w:val="000000"/>
              <w:kern w:val="0"/>
              <w:lang w:eastAsia="it-IT"/>
              <w14:ligatures w14:val="none"/>
            </w:rPr>
            <w:t>, senza che si debba aspettare la fine di un conflitto o le conferenze di pace che identifichino indennizzi di guerra, sempre decisi secondo la logica vincitori e vinti</w:t>
          </w:r>
          <w:r>
            <w:rPr>
              <w:rFonts w:eastAsia="Times New Roman" w:cs="Calibri"/>
              <w:b/>
              <w:bCs/>
              <w:color w:val="000000"/>
              <w:kern w:val="0"/>
              <w:lang w:eastAsia="it-IT"/>
              <w14:ligatures w14:val="none"/>
            </w:rPr>
            <w:t>.</w:t>
          </w:r>
        </w:p>
        <w:p>
          <w:pPr>
            <w:pStyle w:val="Normal"/>
            <w:ind w:hanging="425" w:left="709"/>
            <w:jc w:val="both"/>
            <w:rPr>
              <w:rFonts w:ascii="Calibri" w:hAnsi="Calibri" w:eastAsia="Times New Roman" w:cs="Calibri"/>
              <w:color w:val="000000"/>
              <w:kern w:val="0"/>
              <w:lang w:eastAsia="it-IT"/>
              <w14:ligatures w14:val="none"/>
            </w:rPr>
          </w:pPr>
          <w:r>
            <w:rPr>
              <w:rFonts w:eastAsia="Times New Roman" w:cs="Calibri"/>
              <w:b/>
              <w:bCs/>
              <w:color w:val="000000"/>
              <w:kern w:val="0"/>
              <w:lang w:eastAsia="it-IT"/>
              <w14:ligatures w14:val="none"/>
            </w:rPr>
            <w:t>5.10</w:t>
            <w:tab/>
            <w:t xml:space="preserve">E’ stata inoltre condivisa la proposta di MEAN relativa all’istituzione di Corpi Civili di pace; </w:t>
          </w:r>
          <w:r>
            <w:rPr>
              <w:rFonts w:eastAsia="Times New Roman" w:cs="Calibri"/>
              <w:color w:val="000000"/>
              <w:kern w:val="0"/>
              <w:lang w:eastAsia="it-IT"/>
              <w14:ligatures w14:val="none"/>
            </w:rPr>
            <w:t>vanno studiate forme di collaborazione per dare maggior forza alla proposta.</w:t>
          </w:r>
        </w:p>
        <w:p>
          <w:pPr>
            <w:pStyle w:val="Normal"/>
            <w:rPr>
              <w:b/>
              <w:bCs/>
            </w:rPr>
          </w:pPr>
          <w:r>
            <w:rPr>
              <w:b/>
              <w:bCs/>
            </w:rPr>
          </w:r>
        </w:p>
        <w:p>
          <w:pPr>
            <w:pStyle w:val="Normal"/>
            <w:rPr>
              <w:b/>
              <w:bCs/>
            </w:rPr>
          </w:pPr>
          <w:r>
            <w:rPr>
              <w:b/>
              <w:bCs/>
            </w:rPr>
          </w:r>
        </w:p>
        <w:p>
          <w:pPr>
            <w:pStyle w:val="Normal"/>
            <w:rPr>
              <w:b/>
              <w:bCs/>
            </w:rPr>
          </w:pPr>
          <w:r>
            <w:rPr>
              <w:b/>
              <w:bCs/>
            </w:rPr>
            <w:drawing>
              <wp:anchor behindDoc="0" distT="0" distB="0" distL="114300" distR="114300" simplePos="0" locked="0" layoutInCell="0" allowOverlap="1" relativeHeight="10">
                <wp:simplePos x="0" y="0"/>
                <wp:positionH relativeFrom="column">
                  <wp:posOffset>1057275</wp:posOffset>
                </wp:positionH>
                <wp:positionV relativeFrom="paragraph">
                  <wp:posOffset>9525</wp:posOffset>
                </wp:positionV>
                <wp:extent cx="4994275" cy="8562975"/>
                <wp:effectExtent l="0" t="0" r="0" b="0"/>
                <wp:wrapTopAndBottom/>
                <wp:docPr id="3"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4" descr=""/>
                        <pic:cNvPicPr>
                          <a:picLocks noChangeAspect="1" noChangeArrowheads="1"/>
                        </pic:cNvPicPr>
                      </pic:nvPicPr>
                      <pic:blipFill>
                        <a:blip r:embed="rId4"/>
                        <a:srcRect l="43274" t="7129" r="27618" b="4196"/>
                        <a:stretch>
                          <a:fillRect/>
                        </a:stretch>
                      </pic:blipFill>
                      <pic:spPr bwMode="auto">
                        <a:xfrm>
                          <a:off x="0" y="0"/>
                          <a:ext cx="4994275" cy="8562975"/>
                        </a:xfrm>
                        <a:prstGeom prst="rect">
                          <a:avLst/>
                        </a:prstGeom>
                      </pic:spPr>
                    </pic:pic>
                  </a:graphicData>
                </a:graphic>
              </wp:anchor>
            </w:drawing>
          </w:r>
        </w:p>
        <w:p>
          <w:pPr>
            <w:pStyle w:val="Normal"/>
            <w:jc w:val="both"/>
            <w:rPr>
              <w:rFonts w:eastAsia="Times New Roman" w:cs="Calibri"/>
              <w:b/>
              <w:bCs/>
              <w:i/>
              <w:i/>
              <w:iCs/>
              <w:color w:val="000000"/>
              <w:kern w:val="0"/>
              <w:lang w:eastAsia="it-IT"/>
              <w14:ligatures w14:val="none"/>
            </w:rPr>
          </w:pPr>
          <w:r>
            <w:rPr>
              <w:rFonts w:eastAsia="Times New Roman" w:cs="Calibri"/>
              <w:b/>
              <w:bCs/>
              <w:i/>
              <w:iCs/>
              <w:color w:val="000000"/>
              <w:kern w:val="0"/>
              <w:lang w:eastAsia="it-IT"/>
              <w14:ligatures w14:val="none"/>
            </w:rPr>
            <w:t>Al termine della mattina del 24/02/2024, l’autore de “La rivoluzione globale”, Oreste Parisotto – Presidente e fondatore di Unipax, NGO associata da trent’anni al Dept. of Communications delle Nazioni Unite – ha presentato il volume di recentissima pubblicazione.</w:t>
          </w:r>
        </w:p>
        <w:p>
          <w:pPr>
            <w:pStyle w:val="Normal"/>
            <w:rPr>
              <w:b/>
              <w:bCs/>
            </w:rPr>
          </w:pPr>
          <w:r>
            <w:rPr>
              <w:b/>
              <w:bCs/>
            </w:rPr>
            <w:t>TAVOLA SINOTTICA DELLE PROPOSTE DA INTRAPRENDERE (*)</w:t>
          </w:r>
        </w:p>
        <w:p>
          <w:pPr>
            <w:pStyle w:val="Normal"/>
            <w:jc w:val="right"/>
            <w:rPr>
              <w:sz w:val="18"/>
              <w:szCs w:val="18"/>
            </w:rPr>
          </w:pPr>
          <w:r>
            <w:rPr/>
            <w:drawing>
              <wp:inline distT="0" distB="0" distL="0" distR="0">
                <wp:extent cx="6593205" cy="8691880"/>
                <wp:effectExtent l="0" t="0" r="0" b="0"/>
                <wp:docPr id="4"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6" descr=""/>
                        <pic:cNvPicPr>
                          <a:picLocks noChangeAspect="1" noChangeArrowheads="1"/>
                        </pic:cNvPicPr>
                      </pic:nvPicPr>
                      <pic:blipFill>
                        <a:blip r:embed="rId5"/>
                        <a:stretch>
                          <a:fillRect/>
                        </a:stretch>
                      </pic:blipFill>
                      <pic:spPr bwMode="auto">
                        <a:xfrm>
                          <a:off x="0" y="0"/>
                          <a:ext cx="6593205" cy="8691880"/>
                        </a:xfrm>
                        <a:prstGeom prst="rect">
                          <a:avLst/>
                        </a:prstGeom>
                      </pic:spPr>
                    </pic:pic>
                  </a:graphicData>
                </a:graphic>
              </wp:inline>
            </w:drawing>
          </w:r>
          <w:r>
            <w:rPr/>
            <w:t xml:space="preserve"> </w:t>
          </w:r>
          <w:r>
            <w:rPr>
              <w:sz w:val="18"/>
              <w:szCs w:val="18"/>
            </w:rPr>
            <w:t xml:space="preserve">(*) L’implementazione delle azioni e la loro stessa ideazione è in continua evoluzione. La tavola sinottica va intesa come una piattaforma aperta e sarà aggiornata periodicamente sul sito </w:t>
          </w:r>
          <w:hyperlink r:id="rId6">
            <w:r>
              <w:rPr>
                <w:rStyle w:val="Hyperlink"/>
                <w:sz w:val="18"/>
                <w:szCs w:val="18"/>
              </w:rPr>
              <w:t>https://costruttoridipace.net/</w:t>
            </w:r>
          </w:hyperlink>
          <w:r>
            <w:rPr>
              <w:sz w:val="18"/>
              <w:szCs w:val="18"/>
            </w:rPr>
            <w:t xml:space="preserve"> e sui social delle organizzazioni che promuoveranno le iniziative.                                                                                                                                          (segue)</w:t>
          </w:r>
        </w:p>
        <w:p>
          <w:pPr>
            <w:pStyle w:val="Normal"/>
            <w:jc w:val="both"/>
            <w:rPr>
              <w:sz w:val="18"/>
              <w:szCs w:val="18"/>
            </w:rPr>
          </w:pPr>
          <w:r>
            <w:rPr>
              <w:sz w:val="18"/>
              <w:szCs w:val="18"/>
            </w:rPr>
            <w:drawing>
              <wp:anchor behindDoc="0" distT="0" distB="0" distL="114300" distR="0" simplePos="0" locked="0" layoutInCell="0" allowOverlap="1" relativeHeight="11">
                <wp:simplePos x="0" y="0"/>
                <wp:positionH relativeFrom="margin">
                  <wp:align>right</wp:align>
                </wp:positionH>
                <wp:positionV relativeFrom="paragraph">
                  <wp:posOffset>638175</wp:posOffset>
                </wp:positionV>
                <wp:extent cx="6645910" cy="8438515"/>
                <wp:effectExtent l="0" t="0" r="0" b="0"/>
                <wp:wrapTopAndBottom/>
                <wp:docPr id="5"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8" descr=""/>
                        <pic:cNvPicPr>
                          <a:picLocks noChangeAspect="1" noChangeArrowheads="1"/>
                        </pic:cNvPicPr>
                      </pic:nvPicPr>
                      <pic:blipFill>
                        <a:blip r:embed="rId7"/>
                        <a:stretch>
                          <a:fillRect/>
                        </a:stretch>
                      </pic:blipFill>
                      <pic:spPr bwMode="auto">
                        <a:xfrm>
                          <a:off x="0" y="0"/>
                          <a:ext cx="6645910" cy="8438515"/>
                        </a:xfrm>
                        <a:prstGeom prst="rect">
                          <a:avLst/>
                        </a:prstGeom>
                      </pic:spPr>
                    </pic:pic>
                  </a:graphicData>
                </a:graphic>
              </wp:anchor>
            </w:drawing>
          </w:r>
        </w:p>
        <w:p>
          <w:pPr>
            <w:pStyle w:val="Normal"/>
            <w:jc w:val="both"/>
            <w:rPr>
              <w:sz w:val="18"/>
              <w:szCs w:val="18"/>
            </w:rPr>
          </w:pPr>
          <w:r>
            <w:rPr/>
            <w:drawing>
              <wp:inline distT="0" distB="0" distL="0" distR="0">
                <wp:extent cx="6645275" cy="372110"/>
                <wp:effectExtent l="0" t="0" r="0" b="0"/>
                <wp:docPr id="6" name="Immagin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1" descr=""/>
                        <pic:cNvPicPr>
                          <a:picLocks noChangeAspect="1" noChangeArrowheads="1"/>
                        </pic:cNvPicPr>
                      </pic:nvPicPr>
                      <pic:blipFill>
                        <a:blip r:embed="rId8"/>
                        <a:stretch>
                          <a:fillRect/>
                        </a:stretch>
                      </pic:blipFill>
                      <pic:spPr bwMode="auto">
                        <a:xfrm>
                          <a:off x="0" y="0"/>
                          <a:ext cx="6645275" cy="372110"/>
                        </a:xfrm>
                        <a:prstGeom prst="rect">
                          <a:avLst/>
                        </a:prstGeom>
                      </pic:spPr>
                    </pic:pic>
                  </a:graphicData>
                </a:graphic>
              </wp:inline>
            </w:drawing>
          </w:r>
        </w:p>
        <w:p>
          <w:pPr>
            <w:pStyle w:val="Normal"/>
            <w:jc w:val="both"/>
            <w:rPr>
              <w:sz w:val="18"/>
              <w:szCs w:val="18"/>
            </w:rPr>
          </w:pPr>
          <w:r>
            <w:rPr>
              <w:sz w:val="18"/>
              <w:szCs w:val="18"/>
            </w:rPr>
            <w:t xml:space="preserve">                                                                                                                                                                                                                                             </w:t>
          </w:r>
          <w:r>
            <w:rPr>
              <w:sz w:val="18"/>
              <w:szCs w:val="18"/>
            </w:rPr>
            <w:t>(segue)</w:t>
          </w:r>
        </w:p>
        <w:p>
          <w:pPr>
            <w:pStyle w:val="Normal"/>
            <w:jc w:val="both"/>
            <w:rPr>
              <w:sz w:val="18"/>
              <w:szCs w:val="18"/>
            </w:rPr>
          </w:pPr>
          <w:r>
            <w:rPr/>
            <w:drawing>
              <wp:anchor behindDoc="0" distT="0" distB="0" distL="114300" distR="0" simplePos="0" locked="0" layoutInCell="0" allowOverlap="1" relativeHeight="12">
                <wp:simplePos x="0" y="0"/>
                <wp:positionH relativeFrom="margin">
                  <wp:align>right</wp:align>
                </wp:positionH>
                <wp:positionV relativeFrom="paragraph">
                  <wp:posOffset>391795</wp:posOffset>
                </wp:positionV>
                <wp:extent cx="6645910" cy="8646160"/>
                <wp:effectExtent l="0" t="0" r="0" b="0"/>
                <wp:wrapTopAndBottom/>
                <wp:docPr id="7" name="Immagin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0" descr=""/>
                        <pic:cNvPicPr>
                          <a:picLocks noChangeAspect="1" noChangeArrowheads="1"/>
                        </pic:cNvPicPr>
                      </pic:nvPicPr>
                      <pic:blipFill>
                        <a:blip r:embed="rId9"/>
                        <a:stretch>
                          <a:fillRect/>
                        </a:stretch>
                      </pic:blipFill>
                      <pic:spPr bwMode="auto">
                        <a:xfrm>
                          <a:off x="0" y="0"/>
                          <a:ext cx="6645910" cy="8646160"/>
                        </a:xfrm>
                        <a:prstGeom prst="rect">
                          <a:avLst/>
                        </a:prstGeom>
                      </pic:spPr>
                    </pic:pic>
                  </a:graphicData>
                </a:graphic>
              </wp:anchor>
            </w:drawing>
            <w:drawing>
              <wp:inline distT="0" distB="0" distL="0" distR="0">
                <wp:extent cx="6645275" cy="372110"/>
                <wp:effectExtent l="0" t="0" r="0" b="0"/>
                <wp:docPr id="8" name="Immagin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9" descr=""/>
                        <pic:cNvPicPr>
                          <a:picLocks noChangeAspect="1" noChangeArrowheads="1"/>
                        </pic:cNvPicPr>
                      </pic:nvPicPr>
                      <pic:blipFill>
                        <a:blip r:embed="rId10"/>
                        <a:stretch>
                          <a:fillRect/>
                        </a:stretch>
                      </pic:blipFill>
                      <pic:spPr bwMode="auto">
                        <a:xfrm>
                          <a:off x="0" y="0"/>
                          <a:ext cx="6645275" cy="372110"/>
                        </a:xfrm>
                        <a:prstGeom prst="rect">
                          <a:avLst/>
                        </a:prstGeom>
                      </pic:spPr>
                    </pic:pic>
                  </a:graphicData>
                </a:graphic>
              </wp:inline>
            </w:drawing>
          </w:r>
        </w:p>
        <w:p>
          <w:pPr>
            <w:pStyle w:val="Normal"/>
            <w:jc w:val="both"/>
            <w:rPr>
              <w:sz w:val="18"/>
              <w:szCs w:val="18"/>
            </w:rPr>
          </w:pPr>
          <w:bookmarkStart w:id="0" w:name="_Hlk164669239"/>
          <w:bookmarkEnd w:id="0"/>
          <w:r>
            <w:rPr>
              <w:sz w:val="18"/>
              <w:szCs w:val="18"/>
            </w:rPr>
            <w:t xml:space="preserve">                                                                                                                                                                                                                                 </w:t>
          </w:r>
          <w:r>
            <w:rPr>
              <w:sz w:val="18"/>
              <w:szCs w:val="18"/>
            </w:rPr>
            <w:t>(segue)</w:t>
          </w:r>
        </w:p>
        <w:p>
          <w:pPr>
            <w:pStyle w:val="Normal"/>
            <w:jc w:val="both"/>
            <w:rPr>
              <w:sz w:val="18"/>
              <w:szCs w:val="18"/>
            </w:rPr>
          </w:pPr>
          <w:r>
            <w:rPr>
              <w:sz w:val="18"/>
              <w:szCs w:val="18"/>
            </w:rPr>
          </w:r>
          <w:bookmarkStart w:id="1" w:name="Copia__Hlk164669239_1"/>
          <w:bookmarkStart w:id="2" w:name="Copia__Hlk164669239_1"/>
          <w:bookmarkEnd w:id="2"/>
        </w:p>
        <w:p>
          <w:pPr>
            <w:pStyle w:val="Normal"/>
            <w:jc w:val="both"/>
            <w:rPr>
              <w:sz w:val="18"/>
              <w:szCs w:val="18"/>
            </w:rPr>
          </w:pPr>
          <w:r>
            <w:rPr/>
            <w:drawing>
              <wp:inline distT="0" distB="0" distL="0" distR="0">
                <wp:extent cx="6645275" cy="372110"/>
                <wp:effectExtent l="0" t="0" r="0" b="0"/>
                <wp:docPr id="9"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2" descr=""/>
                        <pic:cNvPicPr>
                          <a:picLocks noChangeAspect="1" noChangeArrowheads="1"/>
                        </pic:cNvPicPr>
                      </pic:nvPicPr>
                      <pic:blipFill>
                        <a:blip r:embed="rId11"/>
                        <a:stretch>
                          <a:fillRect/>
                        </a:stretch>
                      </pic:blipFill>
                      <pic:spPr bwMode="auto">
                        <a:xfrm>
                          <a:off x="0" y="0"/>
                          <a:ext cx="6645275" cy="372110"/>
                        </a:xfrm>
                        <a:prstGeom prst="rect">
                          <a:avLst/>
                        </a:prstGeom>
                      </pic:spPr>
                    </pic:pic>
                  </a:graphicData>
                </a:graphic>
              </wp:inline>
            </w:drawing>
          </w:r>
        </w:p>
        <w:p>
          <w:pPr>
            <w:pStyle w:val="Normal"/>
            <w:jc w:val="both"/>
            <w:rPr>
              <w:sz w:val="18"/>
              <w:szCs w:val="18"/>
            </w:rPr>
          </w:pPr>
          <w:r>
            <w:rPr/>
            <w:drawing>
              <wp:inline distT="0" distB="0" distL="0" distR="0">
                <wp:extent cx="6645910" cy="8614410"/>
                <wp:effectExtent l="0" t="0" r="0" b="0"/>
                <wp:docPr id="10"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5" descr=""/>
                        <pic:cNvPicPr>
                          <a:picLocks noChangeAspect="1" noChangeArrowheads="1"/>
                        </pic:cNvPicPr>
                      </pic:nvPicPr>
                      <pic:blipFill>
                        <a:blip r:embed="rId12"/>
                        <a:stretch>
                          <a:fillRect/>
                        </a:stretch>
                      </pic:blipFill>
                      <pic:spPr bwMode="auto">
                        <a:xfrm>
                          <a:off x="0" y="0"/>
                          <a:ext cx="6645910" cy="8614410"/>
                        </a:xfrm>
                        <a:prstGeom prst="rect">
                          <a:avLst/>
                        </a:prstGeom>
                      </pic:spPr>
                    </pic:pic>
                  </a:graphicData>
                </a:graphic>
              </wp:inline>
            </w:drawing>
          </w:r>
        </w:p>
        <w:p>
          <w:pPr>
            <w:pStyle w:val="Normal"/>
            <w:jc w:val="both"/>
            <w:rPr>
              <w:sz w:val="18"/>
              <w:szCs w:val="18"/>
            </w:rPr>
          </w:pPr>
          <w:r>
            <w:rPr>
              <w:sz w:val="18"/>
              <w:szCs w:val="18"/>
            </w:rPr>
            <w:t xml:space="preserve">                                                                                                                                                                                                                                        </w:t>
          </w:r>
          <w:r>
            <w:rPr>
              <w:sz w:val="18"/>
              <w:szCs w:val="18"/>
            </w:rPr>
            <w:t>(segue)</w:t>
          </w:r>
        </w:p>
        <w:p>
          <w:pPr>
            <w:pStyle w:val="Normal"/>
            <w:jc w:val="right"/>
            <w:rPr>
              <w:sz w:val="18"/>
              <w:szCs w:val="18"/>
            </w:rPr>
          </w:pPr>
          <w:r>
            <w:rPr>
              <w:sz w:val="18"/>
              <w:szCs w:val="18"/>
            </w:rPr>
          </w:r>
        </w:p>
        <w:p>
          <w:pPr>
            <w:pStyle w:val="Normal"/>
            <w:jc w:val="both"/>
            <w:rPr>
              <w:sz w:val="18"/>
              <w:szCs w:val="18"/>
            </w:rPr>
          </w:pPr>
          <w:r>
            <w:rPr>
              <w:sz w:val="18"/>
              <w:szCs w:val="18"/>
            </w:rPr>
          </w:r>
        </w:p>
        <w:p>
          <w:pPr>
            <w:pStyle w:val="Normal"/>
            <w:jc w:val="both"/>
            <w:rPr>
              <w:sz w:val="18"/>
              <w:szCs w:val="18"/>
            </w:rPr>
          </w:pPr>
          <w:r>
            <w:rPr/>
            <w:drawing>
              <wp:anchor behindDoc="0" distT="0" distB="0" distL="114300" distR="0" simplePos="0" locked="0" layoutInCell="0" allowOverlap="1" relativeHeight="13">
                <wp:simplePos x="0" y="0"/>
                <wp:positionH relativeFrom="margin">
                  <wp:align>right</wp:align>
                </wp:positionH>
                <wp:positionV relativeFrom="paragraph">
                  <wp:posOffset>381635</wp:posOffset>
                </wp:positionV>
                <wp:extent cx="6645910" cy="5942330"/>
                <wp:effectExtent l="0" t="0" r="0" b="0"/>
                <wp:wrapTopAndBottom/>
                <wp:docPr id="11" name="Immagin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2" descr=""/>
                        <pic:cNvPicPr>
                          <a:picLocks noChangeAspect="1" noChangeArrowheads="1"/>
                        </pic:cNvPicPr>
                      </pic:nvPicPr>
                      <pic:blipFill>
                        <a:blip r:embed="rId13"/>
                        <a:stretch>
                          <a:fillRect/>
                        </a:stretch>
                      </pic:blipFill>
                      <pic:spPr bwMode="auto">
                        <a:xfrm>
                          <a:off x="0" y="0"/>
                          <a:ext cx="6645910" cy="5942330"/>
                        </a:xfrm>
                        <a:prstGeom prst="rect">
                          <a:avLst/>
                        </a:prstGeom>
                      </pic:spPr>
                    </pic:pic>
                  </a:graphicData>
                </a:graphic>
              </wp:anchor>
            </w:drawing>
            <w:drawing>
              <wp:inline distT="0" distB="0" distL="0" distR="0">
                <wp:extent cx="6645275" cy="372110"/>
                <wp:effectExtent l="0" t="0" r="0" b="0"/>
                <wp:docPr id="12" name="Immagin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3" descr=""/>
                        <pic:cNvPicPr>
                          <a:picLocks noChangeAspect="1" noChangeArrowheads="1"/>
                        </pic:cNvPicPr>
                      </pic:nvPicPr>
                      <pic:blipFill>
                        <a:blip r:embed="rId14"/>
                        <a:stretch>
                          <a:fillRect/>
                        </a:stretch>
                      </pic:blipFill>
                      <pic:spPr bwMode="auto">
                        <a:xfrm>
                          <a:off x="0" y="0"/>
                          <a:ext cx="6645275" cy="372110"/>
                        </a:xfrm>
                        <a:prstGeom prst="rect">
                          <a:avLst/>
                        </a:prstGeom>
                      </pic:spPr>
                    </pic:pic>
                  </a:graphicData>
                </a:graphic>
              </wp:inline>
            </w:drawing>
          </w:r>
        </w:p>
        <w:p>
          <w:pPr>
            <w:pStyle w:val="Normal"/>
            <w:spacing w:before="0" w:after="160"/>
            <w:jc w:val="both"/>
            <w:rPr>
              <w:sz w:val="18"/>
              <w:szCs w:val="18"/>
            </w:rPr>
          </w:pPr>
          <w:r>
            <w:rPr>
              <w:sz w:val="18"/>
              <w:szCs w:val="18"/>
            </w:rPr>
          </w:r>
        </w:p>
      </w:sdtContent>
    </w:sdt>
    <w:sectPr>
      <w:headerReference w:type="even" r:id="rId15"/>
      <w:headerReference w:type="default" r:id="rId16"/>
      <w:headerReference w:type="first" r:id="rId17"/>
      <w:footerReference w:type="even" r:id="rId18"/>
      <w:footerReference w:type="default" r:id="rId19"/>
      <w:footerReference w:type="first" r:id="rId20"/>
      <w:footnotePr>
        <w:numFmt w:val="decimal"/>
      </w:footnotePr>
      <w:type w:val="nextPage"/>
      <w:pgSz w:w="11906" w:h="16838"/>
      <w:pgMar w:left="720" w:right="720" w:gutter="0" w:header="0" w:top="720" w:footer="708" w:bottom="765"/>
      <w:pgNumType w:start="0" w:fmt="decimal"/>
      <w:formProt w:val="false"/>
      <w:titlePg/>
      <w:textDirection w:val="lrTb"/>
      <w:docGrid w:type="default" w:linePitch="36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Calibri Light">
    <w:charset w:val="00"/>
    <w:family w:val="roman"/>
    <w:pitch w:val="variable"/>
  </w:font>
  <w:font w:name="Segoe UI Symbo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7012982"/>
    </w:sdtPr>
    <w:sdtContent>
      <w:p>
        <w:pPr>
          <w:pStyle w:val="Footer"/>
          <w:jc w:val="right"/>
          <w:rPr/>
        </w:pPr>
        <w:r>
          <w:rPr/>
          <w:fldChar w:fldCharType="begin"/>
        </w:r>
        <w:r>
          <w:rPr/>
          <w:instrText xml:space="preserve"> PAGE </w:instrText>
        </w:r>
        <w:r>
          <w:rPr/>
          <w:fldChar w:fldCharType="separate"/>
        </w:r>
        <w:r>
          <w:rPr/>
          <w:t>17</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lang w:val="en-GB"/>
        </w:rPr>
      </w:pPr>
      <w:r>
        <w:rPr>
          <w:rStyle w:val="Caratterinotaapidipagina"/>
        </w:rPr>
        <w:footnoteRef/>
      </w:r>
      <w:r>
        <w:rPr>
          <w:lang w:val="en-GB"/>
        </w:rPr>
        <w:t xml:space="preserve"> </w:t>
      </w:r>
      <w:r>
        <w:rPr>
          <w:lang w:val="en-GB"/>
        </w:rPr>
        <w:t>Cfr. https://ecofemministe.wixsite.com/ecofem/comunicati</w:t>
      </w:r>
    </w:p>
  </w:footnote>
  <w:footnote w:id="3">
    <w:p>
      <w:pPr>
        <w:pStyle w:val="Default"/>
        <w:rPr>
          <w:sz w:val="20"/>
          <w:szCs w:val="20"/>
          <w:lang w:val="en-GB"/>
        </w:rPr>
      </w:pPr>
      <w:r>
        <w:rPr>
          <w:rStyle w:val="Caratterinotaapidipagina"/>
        </w:rPr>
        <w:footnoteRef/>
      </w:r>
      <w:r>
        <w:rPr>
          <w:lang w:val="en-GB"/>
        </w:rPr>
        <w:t xml:space="preserve">“ </w:t>
      </w:r>
      <w:r>
        <w:rPr>
          <w:sz w:val="20"/>
          <w:szCs w:val="20"/>
          <w:lang w:val="en-GB"/>
        </w:rPr>
        <w:t xml:space="preserve">A Multitemporal Snapshot of Greenhouse Gas Emissions from the Israel-Gaza Conflict” di Benjamin Neimark, Patrick Bigger, Frederick Otu-Larbi, Reuben Larbi  su </w:t>
      </w:r>
      <w:hyperlink r:id="rId1">
        <w:r>
          <w:rPr>
            <w:i/>
            <w:iCs/>
            <w:sz w:val="20"/>
            <w:szCs w:val="20"/>
            <w:lang w:val="en-GB"/>
          </w:rPr>
          <w:t>Social Science Research Network</w:t>
        </w:r>
      </w:hyperlink>
      <w:r>
        <w:rPr>
          <w:sz w:val="20"/>
          <w:szCs w:val="20"/>
          <w:lang w:val="en-GB"/>
        </w:rPr>
        <w:t>, gen. 2024</w:t>
      </w:r>
    </w:p>
  </w:footnote>
  <w:footnote w:id="4">
    <w:p>
      <w:pPr>
        <w:pStyle w:val="FootnoteText"/>
        <w:rPr>
          <w:lang w:val="en-GB"/>
        </w:rPr>
      </w:pPr>
      <w:r>
        <w:rPr>
          <w:rStyle w:val="Caratterinotaapidipagina"/>
        </w:rPr>
        <w:footnoteRef/>
      </w:r>
      <w:r>
        <w:rPr>
          <w:lang w:val="en-GB"/>
        </w:rPr>
        <w:t xml:space="preserve"> </w:t>
      </w:r>
      <w:r>
        <w:rPr>
          <w:lang w:val="en-GB"/>
        </w:rPr>
        <w:t>https://www.ifw-kiel.de/publications/news/economic-fallout-the-price-of-war/</w:t>
      </w:r>
    </w:p>
  </w:footnote>
  <w:footnote w:id="5">
    <w:p>
      <w:pPr>
        <w:pStyle w:val="FootnoteText"/>
        <w:rPr/>
      </w:pPr>
      <w:r>
        <w:rPr>
          <w:rStyle w:val="Caratterinotaapidipagina"/>
        </w:rPr>
        <w:footnoteRef/>
      </w:r>
      <w:r>
        <w:rPr/>
        <w:t xml:space="preserve"> </w:t>
      </w:r>
      <w:r>
        <w:rPr/>
        <w:t>Il gruppo di lavoro è stato coordinato da Roberto De Luca, Carlo Infante e Cinzia Rossi; hanno attivamente partecipato Vincenza Spiridione, Eric Luzzetti, Giorgio Gugliemetti, Giovanni Receputi, Patrizia Governatori.</w:t>
      </w:r>
    </w:p>
    <w:p>
      <w:pPr>
        <w:pStyle w:val="FootnoteText"/>
        <w:rPr/>
      </w:pPr>
      <w:r>
        <w:rPr/>
      </w:r>
    </w:p>
  </w:footnote>
  <w:footnote w:id="6">
    <w:p>
      <w:pPr>
        <w:pStyle w:val="FootnoteText"/>
        <w:rPr/>
      </w:pPr>
      <w:r>
        <w:rPr>
          <w:rStyle w:val="Caratterinotaapidipagina"/>
        </w:rPr>
        <w:footnoteRef/>
      </w:r>
      <w:r>
        <w:rPr/>
        <w:t xml:space="preserve"> </w:t>
      </w:r>
      <w:r>
        <w:rPr/>
        <w:t xml:space="preserve">La presenza dell’ambasciatore Alberto Bradanini </w:t>
      </w:r>
      <w:r>
        <w:rPr>
          <w:rFonts w:eastAsia="Times New Roman" w:cs="Calibri"/>
          <w:color w:val="222222"/>
          <w:shd w:fill="FFFFFF" w:val="clear"/>
          <w:lang w:eastAsia="en-GB"/>
        </w:rPr>
        <w:t>è venuta a mancare, a causa di un contrattempo imprevisto.</w:t>
      </w:r>
    </w:p>
  </w:footnote>
  <w:footnote w:id="7">
    <w:p>
      <w:pPr>
        <w:pStyle w:val="FootnoteText"/>
        <w:rPr/>
      </w:pPr>
      <w:r>
        <w:rPr>
          <w:rStyle w:val="Caratterinotaapidipagina"/>
        </w:rPr>
        <w:footnoteRef/>
      </w:r>
      <w:r>
        <w:rPr/>
        <w:t xml:space="preserve"> </w:t>
      </w:r>
      <w:r>
        <w:rPr/>
        <w:t>Il gruppo di lavoro è stato coordinato da Maurizio Salustro e Vincenzo Vigna; hanno attivamente partecipato Raffaele Cavaliere, Roberto Rubeo, Caterina De Caro, Francesco Canganella, Rosapia Farese, Orazio Parisotto.</w:t>
      </w:r>
    </w:p>
  </w:footnote>
  <w:footnote w:id="8">
    <w:p>
      <w:pPr>
        <w:pStyle w:val="Normal"/>
        <w:spacing w:lineRule="atLeast" w:line="100" w:before="0" w:after="0"/>
        <w:jc w:val="both"/>
        <w:rPr>
          <w:sz w:val="16"/>
          <w:szCs w:val="16"/>
          <w:u w:val="single"/>
        </w:rPr>
      </w:pPr>
      <w:r>
        <w:rPr>
          <w:rStyle w:val="Caratterinotaapidipagina"/>
        </w:rPr>
        <w:footnoteRef/>
      </w:r>
      <w:r>
        <w:rPr/>
        <w:t xml:space="preserve"> </w:t>
      </w:r>
      <w:r>
        <w:rPr>
          <w:sz w:val="16"/>
          <w:szCs w:val="16"/>
          <w:u w:val="single"/>
        </w:rPr>
        <w:t>Di seguito i</w:t>
      </w:r>
      <w:r>
        <w:rPr/>
        <w:t xml:space="preserve"> </w:t>
      </w:r>
      <w:r>
        <w:rPr>
          <w:sz w:val="16"/>
          <w:szCs w:val="16"/>
          <w:u w:val="single"/>
        </w:rPr>
        <w:t>risultati della prima interrogazione</w:t>
      </w:r>
    </w:p>
    <w:p>
      <w:pPr>
        <w:pStyle w:val="Normal"/>
        <w:spacing w:lineRule="atLeast" w:line="100" w:before="0" w:after="0"/>
        <w:jc w:val="both"/>
        <w:rPr>
          <w:sz w:val="16"/>
          <w:szCs w:val="16"/>
        </w:rPr>
      </w:pPr>
      <w:r>
        <w:rPr>
          <w:sz w:val="16"/>
          <w:szCs w:val="16"/>
        </w:rPr>
        <w:t>Possibili azioni per aumentare l'efficacia della diplomazia e del diritto internazionale umanitario.</w:t>
      </w:r>
    </w:p>
    <w:p>
      <w:pPr>
        <w:pStyle w:val="Normal"/>
        <w:spacing w:lineRule="atLeast" w:line="100" w:before="0" w:after="0"/>
        <w:jc w:val="both"/>
        <w:rPr>
          <w:sz w:val="16"/>
          <w:szCs w:val="16"/>
        </w:rPr>
      </w:pPr>
      <w:r>
        <w:rPr>
          <w:sz w:val="16"/>
          <w:szCs w:val="16"/>
        </w:rPr>
        <w:t>1.</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sz w:val="16"/>
          <w:szCs w:val="16"/>
        </w:rPr>
        <w:t xml:space="preserve">Promuovere la </w:t>
      </w:r>
      <w:r>
        <w:rPr>
          <w:i/>
          <w:iCs/>
          <w:sz w:val="16"/>
          <w:szCs w:val="16"/>
          <w:u w:val="single"/>
        </w:rPr>
        <w:t>consapevolezza e</w:t>
      </w:r>
      <w:r>
        <w:rPr>
          <w:sz w:val="16"/>
          <w:szCs w:val="16"/>
        </w:rPr>
        <w:t xml:space="preserve"> l'</w:t>
      </w:r>
      <w:r>
        <w:rPr>
          <w:i/>
          <w:iCs/>
          <w:sz w:val="16"/>
          <w:szCs w:val="16"/>
          <w:u w:val="single"/>
        </w:rPr>
        <w:t>educazione</w:t>
      </w:r>
      <w:r>
        <w:rPr>
          <w:sz w:val="16"/>
          <w:szCs w:val="16"/>
        </w:rPr>
        <w:t>: sensibilizzare i cittadini e i leader politici sull'importanza della diplomazia e del diritto internazionale umanitario può contribuire a una maggiore adesione e rispetto delle norme internazionali.</w:t>
      </w:r>
    </w:p>
    <w:p>
      <w:pPr>
        <w:pStyle w:val="Normal"/>
        <w:spacing w:lineRule="atLeast" w:line="100" w:before="0" w:after="0"/>
        <w:jc w:val="both"/>
        <w:rPr>
          <w:sz w:val="16"/>
          <w:szCs w:val="16"/>
        </w:rPr>
      </w:pPr>
      <w:r>
        <w:rPr>
          <w:sz w:val="16"/>
          <w:szCs w:val="16"/>
        </w:rPr>
        <w:t>2.</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sz w:val="16"/>
          <w:szCs w:val="16"/>
        </w:rPr>
        <w:t xml:space="preserve">Rafforzare la </w:t>
      </w:r>
      <w:r>
        <w:rPr>
          <w:i/>
          <w:iCs/>
          <w:sz w:val="16"/>
          <w:szCs w:val="16"/>
          <w:u w:val="single"/>
        </w:rPr>
        <w:t>cooperazione internazionale</w:t>
      </w:r>
      <w:r>
        <w:rPr>
          <w:sz w:val="16"/>
          <w:szCs w:val="16"/>
        </w:rPr>
        <w:t>: promuovere accordi e trattati internazionali che favoriscano la cooperazione tra Stati nel rispetto del diritto internazionale umanitario può aiutare a prevenire violazioni e conflitti.</w:t>
      </w:r>
    </w:p>
    <w:p>
      <w:pPr>
        <w:pStyle w:val="Normal"/>
        <w:spacing w:lineRule="atLeast" w:line="100" w:before="0" w:after="0"/>
        <w:jc w:val="both"/>
        <w:rPr>
          <w:sz w:val="16"/>
          <w:szCs w:val="16"/>
        </w:rPr>
      </w:pPr>
      <w:r>
        <w:rPr>
          <w:sz w:val="16"/>
          <w:szCs w:val="16"/>
        </w:rPr>
        <w:t>3.</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sz w:val="16"/>
          <w:szCs w:val="16"/>
        </w:rPr>
        <w:t xml:space="preserve">Sostenere le </w:t>
      </w:r>
      <w:r>
        <w:rPr>
          <w:i/>
          <w:iCs/>
          <w:sz w:val="16"/>
          <w:szCs w:val="16"/>
          <w:u w:val="single"/>
        </w:rPr>
        <w:t>organizzazioni internazionali</w:t>
      </w:r>
      <w:r>
        <w:rPr>
          <w:sz w:val="16"/>
          <w:szCs w:val="16"/>
        </w:rPr>
        <w:t>: potenziare il ruolo e le risorse delle organizzazioni internazionali, come le Nazioni Unite e la Croce Rossa, può favorire la promozione e l'applicazione del diritto internazionale umanitario.</w:t>
      </w:r>
    </w:p>
    <w:p>
      <w:pPr>
        <w:pStyle w:val="Normal"/>
        <w:spacing w:lineRule="atLeast" w:line="100" w:before="0" w:after="0"/>
        <w:jc w:val="both"/>
        <w:rPr>
          <w:sz w:val="16"/>
          <w:szCs w:val="16"/>
        </w:rPr>
      </w:pPr>
      <w:r>
        <w:rPr>
          <w:sz w:val="16"/>
          <w:szCs w:val="16"/>
        </w:rPr>
        <w:t>4.</w:t>
      </w:r>
      <w:r>
        <w:rPr>
          <w:rFonts w:cs="Segoe UI Symbol" w:ascii="Segoe UI Symbol" w:hAnsi="Segoe UI Symbol"/>
          <w:sz w:val="16"/>
          <w:szCs w:val="16"/>
        </w:rPr>
        <w:t>⁠</w:t>
      </w:r>
      <w:r>
        <w:rPr>
          <w:sz w:val="16"/>
          <w:szCs w:val="16"/>
        </w:rPr>
        <w:t xml:space="preserve"> </w:t>
      </w:r>
      <w:r>
        <w:rPr>
          <w:rFonts w:cs="Segoe UI Symbol" w:ascii="Segoe UI Symbol" w:hAnsi="Segoe UI Symbol"/>
          <w:i/>
          <w:iCs/>
          <w:sz w:val="16"/>
          <w:szCs w:val="16"/>
          <w:u w:val="single"/>
        </w:rPr>
        <w:t>⁠</w:t>
      </w:r>
      <w:r>
        <w:rPr>
          <w:i/>
          <w:iCs/>
          <w:sz w:val="16"/>
          <w:szCs w:val="16"/>
          <w:u w:val="single"/>
        </w:rPr>
        <w:t>Monitorare e denunciare le violazioni</w:t>
      </w:r>
      <w:r>
        <w:rPr>
          <w:sz w:val="16"/>
          <w:szCs w:val="16"/>
        </w:rPr>
        <w:t>: creare meccanismi di monitoraggio e rendere pubbliche le violazioni del diritto internazionale umanitario può contribuire a responsabilizzare gli Stati e le parti in conflitto.</w:t>
      </w:r>
    </w:p>
    <w:p>
      <w:pPr>
        <w:pStyle w:val="Normal"/>
        <w:spacing w:lineRule="atLeast" w:line="100" w:before="0" w:after="0"/>
        <w:jc w:val="both"/>
        <w:rPr>
          <w:sz w:val="16"/>
          <w:szCs w:val="16"/>
        </w:rPr>
      </w:pPr>
      <w:r>
        <w:rPr>
          <w:sz w:val="16"/>
          <w:szCs w:val="16"/>
        </w:rPr>
        <w:t>5.</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sz w:val="16"/>
          <w:szCs w:val="16"/>
        </w:rPr>
        <w:t xml:space="preserve">Favorire la </w:t>
      </w:r>
      <w:r>
        <w:rPr>
          <w:i/>
          <w:iCs/>
          <w:sz w:val="16"/>
          <w:szCs w:val="16"/>
          <w:u w:val="single"/>
        </w:rPr>
        <w:t>mediazione e</w:t>
      </w:r>
      <w:r>
        <w:rPr>
          <w:sz w:val="16"/>
          <w:szCs w:val="16"/>
        </w:rPr>
        <w:t xml:space="preserve"> la </w:t>
      </w:r>
      <w:r>
        <w:rPr>
          <w:i/>
          <w:iCs/>
          <w:sz w:val="16"/>
          <w:szCs w:val="16"/>
          <w:u w:val="single"/>
        </w:rPr>
        <w:t>negoziazione</w:t>
      </w:r>
      <w:r>
        <w:rPr>
          <w:sz w:val="16"/>
          <w:szCs w:val="16"/>
        </w:rPr>
        <w:t>: promuovere la mediazione e la negoziazione come strumenti per risolvere i conflitti in conformità con il diritto internazionale può aiutare a evitare escalation e violazioni.</w:t>
      </w:r>
    </w:p>
    <w:p>
      <w:pPr>
        <w:pStyle w:val="Normal"/>
        <w:spacing w:lineRule="atLeast" w:line="100" w:before="0" w:after="0"/>
        <w:jc w:val="both"/>
        <w:rPr>
          <w:sz w:val="16"/>
          <w:szCs w:val="16"/>
        </w:rPr>
      </w:pPr>
      <w:r>
        <w:rPr>
          <w:i/>
          <w:iCs/>
          <w:sz w:val="16"/>
          <w:szCs w:val="16"/>
          <w:u w:val="single"/>
        </w:rPr>
        <w:t>Punti di forza del diritto internazionale umanitario</w:t>
      </w:r>
      <w:r>
        <w:rPr>
          <w:sz w:val="16"/>
          <w:szCs w:val="16"/>
        </w:rPr>
        <w:t xml:space="preserve"> includono la sua capacità di proteggere i civili durante i conflitti armati, stabilire norme universalmente riconosciute e favorire la responsabilizzazione degli Stati e delle parti in conflitto.</w:t>
      </w:r>
    </w:p>
    <w:p>
      <w:pPr>
        <w:pStyle w:val="Normal"/>
        <w:spacing w:lineRule="atLeast" w:line="100" w:before="0" w:after="0"/>
        <w:jc w:val="both"/>
        <w:rPr>
          <w:sz w:val="16"/>
          <w:szCs w:val="16"/>
        </w:rPr>
      </w:pPr>
      <w:r>
        <w:rPr>
          <w:sz w:val="16"/>
          <w:szCs w:val="16"/>
        </w:rPr>
        <w:t xml:space="preserve">Tuttavia, i </w:t>
      </w:r>
      <w:r>
        <w:rPr>
          <w:i/>
          <w:iCs/>
          <w:sz w:val="16"/>
          <w:szCs w:val="16"/>
          <w:u w:val="single"/>
        </w:rPr>
        <w:t>punti deboli</w:t>
      </w:r>
      <w:r>
        <w:rPr>
          <w:sz w:val="16"/>
          <w:szCs w:val="16"/>
        </w:rPr>
        <w:t xml:space="preserve"> includono la </w:t>
      </w:r>
      <w:r>
        <w:rPr>
          <w:i/>
          <w:iCs/>
          <w:sz w:val="16"/>
          <w:szCs w:val="16"/>
          <w:u w:val="single"/>
        </w:rPr>
        <w:t>mancanza di meccanismi di applicazione efficaci</w:t>
      </w:r>
      <w:r>
        <w:rPr>
          <w:sz w:val="16"/>
          <w:szCs w:val="16"/>
        </w:rPr>
        <w:t xml:space="preserve">, la </w:t>
      </w:r>
      <w:r>
        <w:rPr>
          <w:i/>
          <w:iCs/>
          <w:sz w:val="16"/>
          <w:szCs w:val="16"/>
          <w:u w:val="single"/>
        </w:rPr>
        <w:t>violazione e l'interpretazione selettiva delle norme</w:t>
      </w:r>
      <w:r>
        <w:rPr>
          <w:sz w:val="16"/>
          <w:szCs w:val="16"/>
        </w:rPr>
        <w:t xml:space="preserve"> da parte di alcuni attori, e la </w:t>
      </w:r>
      <w:r>
        <w:rPr>
          <w:i/>
          <w:iCs/>
          <w:sz w:val="16"/>
          <w:szCs w:val="16"/>
          <w:u w:val="single"/>
        </w:rPr>
        <w:t>sfida nel far rispettare il diritto internazionale in contesti di conflitto armato</w:t>
      </w:r>
      <w:r>
        <w:rPr>
          <w:sz w:val="16"/>
          <w:szCs w:val="16"/>
        </w:rPr>
        <w:t>.</w:t>
      </w:r>
    </w:p>
    <w:p>
      <w:pPr>
        <w:pStyle w:val="Normal"/>
        <w:spacing w:lineRule="atLeast" w:line="100" w:before="0" w:after="0"/>
        <w:jc w:val="both"/>
        <w:rPr>
          <w:sz w:val="16"/>
          <w:szCs w:val="16"/>
          <w:u w:val="single"/>
        </w:rPr>
      </w:pPr>
      <w:r>
        <w:rPr>
          <w:sz w:val="16"/>
          <w:szCs w:val="16"/>
          <w:u w:val="single"/>
        </w:rPr>
        <w:t>Risultati della seconda interrogazione</w:t>
      </w:r>
    </w:p>
    <w:p>
      <w:pPr>
        <w:pStyle w:val="Normal"/>
        <w:spacing w:lineRule="atLeast" w:line="100" w:before="0" w:after="0"/>
        <w:jc w:val="both"/>
        <w:rPr>
          <w:sz w:val="16"/>
          <w:szCs w:val="16"/>
        </w:rPr>
      </w:pPr>
      <w:r>
        <w:rPr>
          <w:sz w:val="16"/>
          <w:szCs w:val="16"/>
        </w:rPr>
        <w:t>Possibili azioni per aumentare l'efficacia della diplomazia e del diritto internazionale umanitario mettendo al centro la persona.</w:t>
      </w:r>
    </w:p>
    <w:p>
      <w:pPr>
        <w:pStyle w:val="Normal"/>
        <w:spacing w:lineRule="atLeast" w:line="100" w:before="0" w:after="0"/>
        <w:jc w:val="both"/>
        <w:rPr>
          <w:sz w:val="16"/>
          <w:szCs w:val="16"/>
        </w:rPr>
      </w:pPr>
      <w:r>
        <w:rPr>
          <w:sz w:val="16"/>
          <w:szCs w:val="16"/>
        </w:rPr>
        <w:t>1.</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i/>
          <w:iCs/>
          <w:sz w:val="16"/>
          <w:szCs w:val="16"/>
          <w:u w:val="single"/>
        </w:rPr>
        <w:t>Proteggere i diritti umani</w:t>
      </w:r>
      <w:r>
        <w:rPr>
          <w:sz w:val="16"/>
          <w:szCs w:val="16"/>
        </w:rPr>
        <w:t>: garantire il rispetto e la protezione dei diritti umani fondamentali delle persone coinvolte nei conflitti armati, in conformità con il diritto internazionale umanitario, è essenziale per mettere al centro la persona.</w:t>
      </w:r>
    </w:p>
    <w:p>
      <w:pPr>
        <w:pStyle w:val="Normal"/>
        <w:spacing w:lineRule="atLeast" w:line="100" w:before="0" w:after="0"/>
        <w:jc w:val="both"/>
        <w:rPr>
          <w:sz w:val="16"/>
          <w:szCs w:val="16"/>
        </w:rPr>
      </w:pPr>
      <w:r>
        <w:rPr>
          <w:sz w:val="16"/>
          <w:szCs w:val="16"/>
        </w:rPr>
        <w:t>2.</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i/>
          <w:iCs/>
          <w:sz w:val="16"/>
          <w:szCs w:val="16"/>
          <w:u w:val="single"/>
        </w:rPr>
        <w:t>Favorire la partecipazione e l'inclusione</w:t>
      </w:r>
      <w:r>
        <w:rPr>
          <w:sz w:val="16"/>
          <w:szCs w:val="16"/>
        </w:rPr>
        <w:t>: coinvolgere attivamente le persone colpite dai conflitti e le comunità locali nelle decisioni e nei processi diplomatici può garantire una maggiore rappresentatività e tenere conto delle esigenze e dei diritti delle persone.</w:t>
      </w:r>
    </w:p>
    <w:p>
      <w:pPr>
        <w:pStyle w:val="Normal"/>
        <w:spacing w:lineRule="atLeast" w:line="100" w:before="0" w:after="0"/>
        <w:jc w:val="both"/>
        <w:rPr>
          <w:sz w:val="16"/>
          <w:szCs w:val="16"/>
        </w:rPr>
      </w:pPr>
      <w:r>
        <w:rPr>
          <w:sz w:val="16"/>
          <w:szCs w:val="16"/>
        </w:rPr>
        <w:t>3.</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i/>
          <w:iCs/>
          <w:sz w:val="16"/>
          <w:szCs w:val="16"/>
          <w:u w:val="single"/>
        </w:rPr>
        <w:t>Garantire l'accesso all'assistenza umanitaria</w:t>
      </w:r>
      <w:r>
        <w:rPr>
          <w:sz w:val="16"/>
          <w:szCs w:val="16"/>
        </w:rPr>
        <w:t>: assicurare che le persone vulnerabili abbiano accesso all'assistenza umanitaria e ai servizi di base durante i conflitti può migliorare la protezione e il benessere delle persone colpite.</w:t>
      </w:r>
    </w:p>
    <w:p>
      <w:pPr>
        <w:pStyle w:val="Normal"/>
        <w:spacing w:lineRule="atLeast" w:line="100" w:before="0" w:after="0"/>
        <w:jc w:val="both"/>
        <w:rPr>
          <w:sz w:val="16"/>
          <w:szCs w:val="16"/>
        </w:rPr>
      </w:pPr>
      <w:r>
        <w:rPr>
          <w:sz w:val="16"/>
          <w:szCs w:val="16"/>
        </w:rPr>
        <w:t>4.</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i/>
          <w:iCs/>
          <w:sz w:val="16"/>
          <w:szCs w:val="16"/>
          <w:u w:val="single"/>
        </w:rPr>
        <w:t>Promuovere la responsabilità e la giustizia</w:t>
      </w:r>
      <w:r>
        <w:rPr>
          <w:sz w:val="16"/>
          <w:szCs w:val="16"/>
        </w:rPr>
        <w:t>: assicurare che le violazioni del diritto internazionale umanitario siano perseguite e che i responsabili siano portati davanti alla giustizia può garantire la tutela dei diritti delle persone e prevenire futuri abusi.</w:t>
      </w:r>
    </w:p>
    <w:p>
      <w:pPr>
        <w:pStyle w:val="Normal"/>
        <w:spacing w:lineRule="atLeast" w:line="100" w:before="0" w:after="0"/>
        <w:jc w:val="both"/>
        <w:rPr>
          <w:sz w:val="16"/>
          <w:szCs w:val="16"/>
        </w:rPr>
      </w:pPr>
      <w:r>
        <w:rPr>
          <w:sz w:val="16"/>
          <w:szCs w:val="16"/>
        </w:rPr>
        <w:t>5.</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i/>
          <w:iCs/>
          <w:sz w:val="16"/>
          <w:szCs w:val="16"/>
          <w:u w:val="single"/>
        </w:rPr>
        <w:t>Rafforzare la resilienza e la coesione sociale</w:t>
      </w:r>
      <w:r>
        <w:rPr>
          <w:sz w:val="16"/>
          <w:szCs w:val="16"/>
        </w:rPr>
        <w:t>: promuovere la resilienza delle comunità locali e favorire la costruzione di relazioni di fiducia e solidarietà può contribuire a proteggere le persone durante i conflitti e a favorire la ripresa post-conflitto.</w:t>
      </w:r>
    </w:p>
    <w:p>
      <w:pPr>
        <w:pStyle w:val="Normal"/>
        <w:spacing w:lineRule="atLeast" w:line="100" w:before="0" w:after="0"/>
        <w:jc w:val="both"/>
        <w:rPr>
          <w:sz w:val="16"/>
          <w:szCs w:val="16"/>
        </w:rPr>
      </w:pPr>
      <w:r>
        <w:rPr>
          <w:sz w:val="16"/>
          <w:szCs w:val="16"/>
        </w:rPr>
        <w:t xml:space="preserve">Mettere al centro la persona nei processi diplomatici e nel rispetto del diritto internazionale umanitario significa </w:t>
      </w:r>
      <w:r>
        <w:rPr>
          <w:i/>
          <w:iCs/>
          <w:sz w:val="16"/>
          <w:szCs w:val="16"/>
          <w:u w:val="single"/>
        </w:rPr>
        <w:t>assicurare che le azioni e le politiche adottate tengano conto delle esigenze, dei diritti e del benessere delle persone coinvolte</w:t>
      </w:r>
      <w:r>
        <w:rPr>
          <w:sz w:val="16"/>
          <w:szCs w:val="16"/>
        </w:rPr>
        <w:t xml:space="preserve">. La </w:t>
      </w:r>
      <w:r>
        <w:rPr>
          <w:i/>
          <w:iCs/>
          <w:sz w:val="16"/>
          <w:szCs w:val="16"/>
          <w:u w:val="single"/>
        </w:rPr>
        <w:t>partecipazione attiva delle persone e delle comunità</w:t>
      </w:r>
      <w:r>
        <w:rPr>
          <w:sz w:val="16"/>
          <w:szCs w:val="16"/>
        </w:rPr>
        <w:t xml:space="preserve"> può contribuire a una maggiore efficacia e legittimità delle azioni intraprese.</w:t>
      </w:r>
    </w:p>
    <w:p>
      <w:pPr>
        <w:pStyle w:val="Normal"/>
        <w:spacing w:lineRule="atLeast" w:line="100" w:before="0" w:after="0"/>
        <w:jc w:val="both"/>
        <w:rPr>
          <w:sz w:val="16"/>
          <w:szCs w:val="16"/>
          <w:u w:val="single"/>
        </w:rPr>
      </w:pPr>
      <w:r>
        <w:rPr>
          <w:sz w:val="16"/>
          <w:szCs w:val="16"/>
          <w:u w:val="single"/>
        </w:rPr>
        <w:t>Risultati della terza interrogazione</w:t>
      </w:r>
    </w:p>
    <w:p>
      <w:pPr>
        <w:pStyle w:val="Normal"/>
        <w:spacing w:lineRule="atLeast" w:line="100" w:before="0" w:after="0"/>
        <w:jc w:val="both"/>
        <w:rPr>
          <w:sz w:val="16"/>
          <w:szCs w:val="16"/>
        </w:rPr>
      </w:pPr>
      <w:r>
        <w:rPr>
          <w:sz w:val="16"/>
          <w:szCs w:val="16"/>
        </w:rPr>
        <w:t xml:space="preserve">Azione diplomatica e di cooperazione, potenzialmente efficace: promozione di dialoghi e negoziati tra gli attori coinvolti nei conflitti. </w:t>
      </w:r>
    </w:p>
    <w:p>
      <w:pPr>
        <w:pStyle w:val="Normal"/>
        <w:spacing w:lineRule="atLeast" w:line="100" w:before="0" w:after="0"/>
        <w:jc w:val="both"/>
        <w:rPr>
          <w:sz w:val="16"/>
          <w:szCs w:val="16"/>
        </w:rPr>
      </w:pPr>
      <w:r>
        <w:rPr>
          <w:sz w:val="16"/>
          <w:szCs w:val="16"/>
        </w:rPr>
        <w:t>Alcuni punti chiave per un'azione diplomatica e di cooperazione.</w:t>
      </w:r>
    </w:p>
    <w:p>
      <w:pPr>
        <w:pStyle w:val="Normal"/>
        <w:spacing w:lineRule="atLeast" w:line="100" w:before="0" w:after="0"/>
        <w:jc w:val="both"/>
        <w:rPr>
          <w:sz w:val="16"/>
          <w:szCs w:val="16"/>
        </w:rPr>
      </w:pPr>
      <w:r>
        <w:rPr>
          <w:sz w:val="16"/>
          <w:szCs w:val="16"/>
        </w:rPr>
        <w:t>1.</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sz w:val="16"/>
          <w:szCs w:val="16"/>
        </w:rPr>
        <w:t>Mediare e facilitare il dialogo: gli attori diplomatici possono svolgere un ruolo fondamentale nel facilitare il dialogo tra le parti in conflitto e promuovere la ricerca di soluzioni pacifiche e sostenibili.</w:t>
      </w:r>
    </w:p>
    <w:p>
      <w:pPr>
        <w:pStyle w:val="Normal"/>
        <w:spacing w:lineRule="atLeast" w:line="100" w:before="0" w:after="0"/>
        <w:jc w:val="both"/>
        <w:rPr>
          <w:sz w:val="16"/>
          <w:szCs w:val="16"/>
        </w:rPr>
      </w:pPr>
      <w:r>
        <w:rPr>
          <w:sz w:val="16"/>
          <w:szCs w:val="16"/>
        </w:rPr>
        <w:t>2.</w:t>
      </w:r>
      <w:r>
        <w:rPr>
          <w:rFonts w:cs="Segoe UI Symbol" w:ascii="Segoe UI Symbol" w:hAnsi="Segoe UI Symbol"/>
          <w:sz w:val="16"/>
          <w:szCs w:val="16"/>
        </w:rPr>
        <w:t>⁠</w:t>
      </w:r>
      <w:r>
        <w:rPr>
          <w:sz w:val="16"/>
          <w:szCs w:val="16"/>
        </w:rPr>
        <w:t xml:space="preserve"> </w:t>
      </w:r>
      <w:r>
        <w:rPr>
          <w:rFonts w:cs="Segoe UI Symbol" w:ascii="Segoe UI Symbol" w:hAnsi="Segoe UI Symbol"/>
          <w:sz w:val="16"/>
          <w:szCs w:val="16"/>
        </w:rPr>
        <w:t>⁠</w:t>
      </w:r>
      <w:r>
        <w:rPr>
          <w:i/>
          <w:iCs/>
          <w:sz w:val="16"/>
          <w:szCs w:val="16"/>
          <w:u w:val="single"/>
        </w:rPr>
        <w:t>Costruire alleanze e coalizioni</w:t>
      </w:r>
      <w:r>
        <w:rPr>
          <w:sz w:val="16"/>
          <w:szCs w:val="16"/>
        </w:rPr>
        <w:t>: lavorare insieme ad altri Stati, organizzazioni internazionali, ONG e attori locali per costruire alleanze e coalizioni che favoriscano la cooperazione e la risoluzione dei conflitti.</w:t>
      </w:r>
    </w:p>
    <w:p>
      <w:pPr>
        <w:pStyle w:val="Normal"/>
        <w:spacing w:lineRule="atLeast" w:line="100" w:before="0" w:after="0"/>
        <w:jc w:val="both"/>
        <w:rPr>
          <w:sz w:val="16"/>
          <w:szCs w:val="16"/>
        </w:rPr>
      </w:pPr>
      <w:r>
        <w:rPr>
          <w:sz w:val="16"/>
          <w:szCs w:val="16"/>
        </w:rPr>
        <w:t>3.</w:t>
      </w:r>
      <w:r>
        <w:rPr>
          <w:rFonts w:cs="Segoe UI Symbol" w:ascii="Segoe UI Symbol" w:hAnsi="Segoe UI Symbol"/>
          <w:sz w:val="16"/>
          <w:szCs w:val="16"/>
        </w:rPr>
        <w:t>⁠</w:t>
      </w:r>
      <w:r>
        <w:rPr>
          <w:sz w:val="16"/>
          <w:szCs w:val="16"/>
        </w:rPr>
        <w:t xml:space="preserve"> </w:t>
      </w:r>
      <w:r>
        <w:rPr>
          <w:rFonts w:cs="Segoe UI Symbol" w:ascii="Segoe UI Symbol" w:hAnsi="Segoe UI Symbol"/>
          <w:i/>
          <w:iCs/>
          <w:sz w:val="16"/>
          <w:szCs w:val="16"/>
          <w:u w:val="single"/>
        </w:rPr>
        <w:t>⁠</w:t>
      </w:r>
      <w:r>
        <w:rPr>
          <w:i/>
          <w:iCs/>
          <w:sz w:val="16"/>
          <w:szCs w:val="16"/>
          <w:u w:val="single"/>
        </w:rPr>
        <w:t>Favorire la trasparenza e la fiducia</w:t>
      </w:r>
      <w:r>
        <w:rPr>
          <w:sz w:val="16"/>
          <w:szCs w:val="16"/>
        </w:rPr>
        <w:t>: promuovere la trasparenza nei processi diplomatici e costruire fiducia tra le parti in conflitto può facilitare la cooperazione e il rispetto delle norme internazionali.</w:t>
      </w:r>
    </w:p>
    <w:p>
      <w:pPr>
        <w:pStyle w:val="Normal"/>
        <w:spacing w:lineRule="atLeast" w:line="100" w:before="0" w:after="0"/>
        <w:jc w:val="both"/>
        <w:rPr>
          <w:sz w:val="16"/>
          <w:szCs w:val="16"/>
        </w:rPr>
      </w:pPr>
      <w:r>
        <w:rPr>
          <w:sz w:val="16"/>
          <w:szCs w:val="16"/>
        </w:rPr>
        <w:t>4.</w:t>
      </w:r>
      <w:r>
        <w:rPr>
          <w:rFonts w:cs="Segoe UI Symbol" w:ascii="Segoe UI Symbol" w:hAnsi="Segoe UI Symbol"/>
          <w:sz w:val="16"/>
          <w:szCs w:val="16"/>
        </w:rPr>
        <w:t>⁠</w:t>
      </w:r>
      <w:r>
        <w:rPr>
          <w:sz w:val="16"/>
          <w:szCs w:val="16"/>
        </w:rPr>
        <w:t xml:space="preserve"> </w:t>
      </w:r>
      <w:r>
        <w:rPr>
          <w:rFonts w:cs="Segoe UI Symbol" w:ascii="Segoe UI Symbol" w:hAnsi="Segoe UI Symbol"/>
          <w:i/>
          <w:iCs/>
          <w:sz w:val="16"/>
          <w:szCs w:val="16"/>
          <w:u w:val="single"/>
        </w:rPr>
        <w:t>⁠</w:t>
      </w:r>
      <w:r>
        <w:rPr>
          <w:i/>
          <w:iCs/>
          <w:sz w:val="16"/>
          <w:szCs w:val="16"/>
          <w:u w:val="single"/>
        </w:rPr>
        <w:t>Implementare misure preventive</w:t>
      </w:r>
      <w:r>
        <w:rPr>
          <w:sz w:val="16"/>
          <w:szCs w:val="16"/>
        </w:rPr>
        <w:t>: attuare misure preventive per prevenire i conflitti e le violazioni del diritto internazionale umanitario può contribuire a ridurre le tensioni e a proteggere le persone vulnerabili.</w:t>
      </w:r>
    </w:p>
    <w:p>
      <w:pPr>
        <w:pStyle w:val="Normal"/>
        <w:spacing w:lineRule="atLeast" w:line="100" w:before="0" w:after="0"/>
        <w:jc w:val="both"/>
        <w:rPr>
          <w:sz w:val="16"/>
          <w:szCs w:val="16"/>
        </w:rPr>
      </w:pPr>
      <w:r>
        <w:rPr>
          <w:sz w:val="16"/>
          <w:szCs w:val="16"/>
        </w:rPr>
        <w:t>5.</w:t>
      </w:r>
      <w:r>
        <w:rPr>
          <w:rFonts w:cs="Segoe UI Symbol" w:ascii="Segoe UI Symbol" w:hAnsi="Segoe UI Symbol"/>
          <w:sz w:val="16"/>
          <w:szCs w:val="16"/>
        </w:rPr>
        <w:t>⁠</w:t>
      </w:r>
      <w:r>
        <w:rPr>
          <w:sz w:val="16"/>
          <w:szCs w:val="16"/>
        </w:rPr>
        <w:t xml:space="preserve"> </w:t>
      </w:r>
      <w:r>
        <w:rPr>
          <w:rFonts w:cs="Segoe UI Symbol" w:ascii="Segoe UI Symbol" w:hAnsi="Segoe UI Symbol"/>
          <w:i/>
          <w:iCs/>
          <w:sz w:val="16"/>
          <w:szCs w:val="16"/>
          <w:u w:val="single"/>
        </w:rPr>
        <w:t>⁠</w:t>
      </w:r>
      <w:r>
        <w:rPr>
          <w:i/>
          <w:iCs/>
          <w:sz w:val="16"/>
          <w:szCs w:val="16"/>
          <w:u w:val="single"/>
        </w:rPr>
        <w:t>Monitorare e valutare l'efficacia delle azioni</w:t>
      </w:r>
      <w:r>
        <w:rPr>
          <w:sz w:val="16"/>
          <w:szCs w:val="16"/>
        </w:rPr>
        <w:t>: monitorare costantemente l'attuazione delle azioni diplomatiche e di cooperazione e valutarne l'efficacia può aiutare a identificare punti di forza e aree di miglioramento.</w:t>
      </w:r>
    </w:p>
    <w:p>
      <w:pPr>
        <w:pStyle w:val="Normal"/>
        <w:spacing w:lineRule="atLeast" w:line="100" w:before="0" w:after="0"/>
        <w:jc w:val="both"/>
        <w:rPr>
          <w:sz w:val="16"/>
          <w:szCs w:val="16"/>
        </w:rPr>
      </w:pPr>
      <w:r>
        <w:rPr>
          <w:sz w:val="16"/>
          <w:szCs w:val="16"/>
        </w:rPr>
        <w:t xml:space="preserve">Inoltre, è importante </w:t>
      </w:r>
      <w:r>
        <w:rPr>
          <w:i/>
          <w:iCs/>
          <w:sz w:val="16"/>
          <w:szCs w:val="16"/>
          <w:u w:val="single"/>
        </w:rPr>
        <w:t>coinvolgere attivamente le persone colpite dai conflitti e le comunità locali nei processi diplomatici e di cooperazione</w:t>
      </w:r>
      <w:r>
        <w:rPr>
          <w:sz w:val="16"/>
          <w:szCs w:val="16"/>
        </w:rPr>
        <w:t xml:space="preserve"> per garantire che le azioni intraprese rispondano alle loro esigenze e diritti. La </w:t>
      </w:r>
      <w:r>
        <w:rPr>
          <w:i/>
          <w:iCs/>
          <w:sz w:val="16"/>
          <w:szCs w:val="16"/>
          <w:u w:val="single"/>
        </w:rPr>
        <w:t>collaborazione e</w:t>
      </w:r>
      <w:r>
        <w:rPr>
          <w:sz w:val="16"/>
          <w:szCs w:val="16"/>
        </w:rPr>
        <w:t xml:space="preserve"> il </w:t>
      </w:r>
      <w:r>
        <w:rPr>
          <w:i/>
          <w:iCs/>
          <w:sz w:val="16"/>
          <w:szCs w:val="16"/>
          <w:u w:val="single"/>
        </w:rPr>
        <w:t>coordinamento tra gli attori diplomatici, umanitari e di sviluppo</w:t>
      </w:r>
      <w:r>
        <w:rPr>
          <w:sz w:val="16"/>
          <w:szCs w:val="16"/>
        </w:rPr>
        <w:t xml:space="preserve"> possono favorire una risposta integrata e basata sui principi umanitari e di diritto internazionale.</w:t>
      </w:r>
    </w:p>
  </w:footnote>
  <w:footnote w:id="9">
    <w:p>
      <w:pPr>
        <w:pStyle w:val="FootnoteText"/>
        <w:rPr/>
      </w:pPr>
      <w:r>
        <w:rPr>
          <w:rStyle w:val="Caratterinotaapidipagina"/>
        </w:rPr>
        <w:footnoteRef/>
      </w:r>
      <w:r>
        <w:rPr/>
        <w:t xml:space="preserve"> </w:t>
      </w:r>
      <w:r>
        <w:rPr/>
        <w:t>Il gruppo di lavoro è stato coordinato da Daniela Belliti e Iosé Maria Tarallo; hanno attivamente partecipato Patrizia Sterpetti, Maura Cossutta, Anna Amodeo, Rinaldo Alberico.</w:t>
      </w:r>
    </w:p>
    <w:p>
      <w:pPr>
        <w:pStyle w:val="FootnoteText"/>
        <w:rPr/>
      </w:pPr>
      <w:r>
        <w:rPr/>
      </w:r>
    </w:p>
  </w:footnote>
  <w:footnote w:id="10">
    <w:p>
      <w:pPr>
        <w:pStyle w:val="FootnoteText"/>
        <w:rPr/>
      </w:pPr>
      <w:r>
        <w:rPr>
          <w:rStyle w:val="Caratterinotaapidipagina"/>
        </w:rPr>
        <w:footnoteRef/>
      </w:r>
      <w:r>
        <w:rPr/>
        <w:t xml:space="preserve"> </w:t>
      </w:r>
      <w:r>
        <w:rPr/>
        <w:t>Il gruppo di lavoro è stato coordinato da Clara Habte e Edgardo Maria Iozia; hanno attivamente partecipato Pier Virgilio Dastoli, Simone Dioguardi, Lucia Corsi.</w:t>
      </w:r>
    </w:p>
  </w:footnote>
  <w:footnote w:id="11">
    <w:p>
      <w:pPr>
        <w:pStyle w:val="FootnoteText"/>
        <w:jc w:val="both"/>
        <w:rPr/>
      </w:pPr>
      <w:r>
        <w:rPr>
          <w:rStyle w:val="Caratterinotaapidipagina"/>
        </w:rPr>
        <w:footnoteRef/>
      </w:r>
      <w:r>
        <w:rPr/>
        <w:t xml:space="preserve"> </w:t>
      </w:r>
      <w:r>
        <w:rPr/>
        <w:t>Il gruppo di lavoro è stato coordinato da Giovanna Bianconi, Antonella Galetta e Antonella Trocino; hanno attivamente partecipato Massimo Cantelmi, Maurizio Colace, Milvo Angelo Ferrara, Maria Elena Lacquaniti, Maria Larosa, Giorgio Pagano.</w:t>
      </w:r>
    </w:p>
  </w:footnote>
  <w:footnote w:id="12">
    <w:p>
      <w:pPr>
        <w:pStyle w:val="Normal"/>
        <w:spacing w:lineRule="auto" w:line="240" w:before="0" w:after="0"/>
        <w:rPr/>
      </w:pPr>
      <w:r>
        <w:rPr>
          <w:rStyle w:val="Caratterinotaapidipagina"/>
        </w:rPr>
        <w:footnoteRef/>
      </w:r>
      <w:r>
        <w:rPr/>
        <w:t xml:space="preserve"> </w:t>
      </w:r>
      <w:r>
        <w:rPr>
          <w:rFonts w:cs="Calibri" w:cstheme="minorHAnsi"/>
          <w:kern w:val="0"/>
        </w:rPr>
        <w:t>Regolamento (UE) 2020/852 del Parlamento Europeo e del Consiglio del 18 giugno 2020</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0"/>
        </w:tabs>
        <w:ind w:left="360" w:hanging="360"/>
      </w:pPr>
      <w:rPr/>
    </w:lvl>
    <w:lvl w:ilvl="1">
      <w:start w:val="6"/>
      <w:numFmt w:val="decimal"/>
      <w:lvlText w:val="%1.%2"/>
      <w:lvlJc w:val="left"/>
      <w:pPr>
        <w:tabs>
          <w:tab w:val="num" w:pos="0"/>
        </w:tabs>
        <w:ind w:left="644" w:hanging="360"/>
      </w:pPr>
      <w:rPr/>
    </w:lvl>
    <w:lvl w:ilvl="2">
      <w:start w:val="1"/>
      <w:numFmt w:val="decimal"/>
      <w:lvlText w:val="%1.%2.%3"/>
      <w:lvlJc w:val="left"/>
      <w:pPr>
        <w:tabs>
          <w:tab w:val="num" w:pos="0"/>
        </w:tabs>
        <w:ind w:left="1288" w:hanging="720"/>
      </w:pPr>
      <w:rPr/>
    </w:lvl>
    <w:lvl w:ilvl="3">
      <w:start w:val="1"/>
      <w:numFmt w:val="decimal"/>
      <w:lvlText w:val="%1.%2.%3.%4"/>
      <w:lvlJc w:val="left"/>
      <w:pPr>
        <w:tabs>
          <w:tab w:val="num" w:pos="0"/>
        </w:tabs>
        <w:ind w:left="1572" w:hanging="720"/>
      </w:pPr>
      <w:rPr/>
    </w:lvl>
    <w:lvl w:ilvl="4">
      <w:start w:val="1"/>
      <w:numFmt w:val="decimal"/>
      <w:lvlText w:val="%1.%2.%3.%4.%5"/>
      <w:lvlJc w:val="left"/>
      <w:pPr>
        <w:tabs>
          <w:tab w:val="num" w:pos="0"/>
        </w:tabs>
        <w:ind w:left="2216" w:hanging="1080"/>
      </w:pPr>
      <w:rPr/>
    </w:lvl>
    <w:lvl w:ilvl="5">
      <w:start w:val="1"/>
      <w:numFmt w:val="decimal"/>
      <w:lvlText w:val="%1.%2.%3.%4.%5.%6"/>
      <w:lvlJc w:val="left"/>
      <w:pPr>
        <w:tabs>
          <w:tab w:val="num" w:pos="0"/>
        </w:tabs>
        <w:ind w:left="2500" w:hanging="1080"/>
      </w:pPr>
      <w:rPr/>
    </w:lvl>
    <w:lvl w:ilvl="6">
      <w:start w:val="1"/>
      <w:numFmt w:val="decimal"/>
      <w:lvlText w:val="%1.%2.%3.%4.%5.%6.%7"/>
      <w:lvlJc w:val="left"/>
      <w:pPr>
        <w:tabs>
          <w:tab w:val="num" w:pos="0"/>
        </w:tabs>
        <w:ind w:left="3144" w:hanging="1440"/>
      </w:pPr>
      <w:rPr/>
    </w:lvl>
    <w:lvl w:ilvl="7">
      <w:start w:val="1"/>
      <w:numFmt w:val="decimal"/>
      <w:lvlText w:val="%1.%2.%3.%4.%5.%6.%7.%8"/>
      <w:lvlJc w:val="left"/>
      <w:pPr>
        <w:tabs>
          <w:tab w:val="num" w:pos="0"/>
        </w:tabs>
        <w:ind w:left="3428" w:hanging="1440"/>
      </w:pPr>
      <w:rPr/>
    </w:lvl>
    <w:lvl w:ilvl="8">
      <w:start w:val="1"/>
      <w:numFmt w:val="decimal"/>
      <w:lvlText w:val="%1.%2.%3.%4.%5.%6.%7.%8.%9"/>
      <w:lvlJc w:val="left"/>
      <w:pPr>
        <w:tabs>
          <w:tab w:val="num" w:pos="0"/>
        </w:tabs>
        <w:ind w:left="3712" w:hanging="1440"/>
      </w:pPr>
      <w:rPr/>
    </w:lvl>
  </w:abstractNum>
  <w:abstractNum w:abstractNumId="2">
    <w:lvl w:ilvl="0">
      <w:start w:val="2"/>
      <w:numFmt w:val="decimal"/>
      <w:lvlText w:val="%1"/>
      <w:lvlJc w:val="left"/>
      <w:pPr>
        <w:tabs>
          <w:tab w:val="num" w:pos="0"/>
        </w:tabs>
        <w:ind w:left="360" w:hanging="360"/>
      </w:pPr>
      <w:rPr/>
    </w:lvl>
    <w:lvl w:ilvl="1">
      <w:start w:val="2"/>
      <w:numFmt w:val="decimal"/>
      <w:lvlText w:val="%1.%2"/>
      <w:lvlJc w:val="left"/>
      <w:pPr>
        <w:tabs>
          <w:tab w:val="num" w:pos="0"/>
        </w:tabs>
        <w:ind w:left="775" w:hanging="360"/>
      </w:pPr>
      <w:rPr/>
    </w:lvl>
    <w:lvl w:ilvl="2">
      <w:start w:val="1"/>
      <w:numFmt w:val="decimal"/>
      <w:lvlText w:val="%1.%2.%3"/>
      <w:lvlJc w:val="left"/>
      <w:pPr>
        <w:tabs>
          <w:tab w:val="num" w:pos="0"/>
        </w:tabs>
        <w:ind w:left="1550" w:hanging="720"/>
      </w:pPr>
      <w:rPr/>
    </w:lvl>
    <w:lvl w:ilvl="3">
      <w:start w:val="1"/>
      <w:numFmt w:val="decimal"/>
      <w:lvlText w:val="%1.%2.%3.%4"/>
      <w:lvlJc w:val="left"/>
      <w:pPr>
        <w:tabs>
          <w:tab w:val="num" w:pos="0"/>
        </w:tabs>
        <w:ind w:left="1965" w:hanging="720"/>
      </w:pPr>
      <w:rPr/>
    </w:lvl>
    <w:lvl w:ilvl="4">
      <w:start w:val="1"/>
      <w:numFmt w:val="decimal"/>
      <w:lvlText w:val="%1.%2.%3.%4.%5"/>
      <w:lvlJc w:val="left"/>
      <w:pPr>
        <w:tabs>
          <w:tab w:val="num" w:pos="0"/>
        </w:tabs>
        <w:ind w:left="2740" w:hanging="1080"/>
      </w:pPr>
      <w:rPr/>
    </w:lvl>
    <w:lvl w:ilvl="5">
      <w:start w:val="1"/>
      <w:numFmt w:val="decimal"/>
      <w:lvlText w:val="%1.%2.%3.%4.%5.%6"/>
      <w:lvlJc w:val="left"/>
      <w:pPr>
        <w:tabs>
          <w:tab w:val="num" w:pos="0"/>
        </w:tabs>
        <w:ind w:left="3155" w:hanging="1080"/>
      </w:pPr>
      <w:rPr/>
    </w:lvl>
    <w:lvl w:ilvl="6">
      <w:start w:val="1"/>
      <w:numFmt w:val="decimal"/>
      <w:lvlText w:val="%1.%2.%3.%4.%5.%6.%7"/>
      <w:lvlJc w:val="left"/>
      <w:pPr>
        <w:tabs>
          <w:tab w:val="num" w:pos="0"/>
        </w:tabs>
        <w:ind w:left="3930" w:hanging="1440"/>
      </w:pPr>
      <w:rPr/>
    </w:lvl>
    <w:lvl w:ilvl="7">
      <w:start w:val="1"/>
      <w:numFmt w:val="decimal"/>
      <w:lvlText w:val="%1.%2.%3.%4.%5.%6.%7.%8"/>
      <w:lvlJc w:val="left"/>
      <w:pPr>
        <w:tabs>
          <w:tab w:val="num" w:pos="0"/>
        </w:tabs>
        <w:ind w:left="4345" w:hanging="1440"/>
      </w:pPr>
      <w:rPr/>
    </w:lvl>
    <w:lvl w:ilvl="8">
      <w:start w:val="1"/>
      <w:numFmt w:val="decimal"/>
      <w:lvlText w:val="%1.%2.%3.%4.%5.%6.%7.%8.%9"/>
      <w:lvlJc w:val="left"/>
      <w:pPr>
        <w:tabs>
          <w:tab w:val="num" w:pos="0"/>
        </w:tabs>
        <w:ind w:left="4760" w:hanging="1440"/>
      </w:pPr>
      <w:rPr/>
    </w:lvl>
  </w:abstractNum>
  <w:abstractNum w:abstractNumId="3">
    <w:lvl w:ilvl="0">
      <w:start w:val="2"/>
      <w:numFmt w:val="decimal"/>
      <w:lvlText w:val="%1"/>
      <w:lvlJc w:val="left"/>
      <w:pPr>
        <w:tabs>
          <w:tab w:val="num" w:pos="0"/>
        </w:tabs>
        <w:ind w:left="420" w:hanging="420"/>
      </w:pPr>
      <w:rPr/>
    </w:lvl>
    <w:lvl w:ilvl="1">
      <w:start w:val="11"/>
      <w:numFmt w:val="decimal"/>
      <w:lvlText w:val="%1.%2"/>
      <w:lvlJc w:val="left"/>
      <w:pPr>
        <w:tabs>
          <w:tab w:val="num" w:pos="0"/>
        </w:tabs>
        <w:ind w:left="704" w:hanging="420"/>
      </w:pPr>
      <w:rPr/>
    </w:lvl>
    <w:lvl w:ilvl="2">
      <w:start w:val="1"/>
      <w:numFmt w:val="decimal"/>
      <w:lvlText w:val="%1.%2.%3"/>
      <w:lvlJc w:val="left"/>
      <w:pPr>
        <w:tabs>
          <w:tab w:val="num" w:pos="0"/>
        </w:tabs>
        <w:ind w:left="1288" w:hanging="720"/>
      </w:pPr>
      <w:rPr/>
    </w:lvl>
    <w:lvl w:ilvl="3">
      <w:start w:val="1"/>
      <w:numFmt w:val="decimal"/>
      <w:lvlText w:val="%1.%2.%3.%4"/>
      <w:lvlJc w:val="left"/>
      <w:pPr>
        <w:tabs>
          <w:tab w:val="num" w:pos="0"/>
        </w:tabs>
        <w:ind w:left="1572" w:hanging="720"/>
      </w:pPr>
      <w:rPr/>
    </w:lvl>
    <w:lvl w:ilvl="4">
      <w:start w:val="1"/>
      <w:numFmt w:val="decimal"/>
      <w:lvlText w:val="%1.%2.%3.%4.%5"/>
      <w:lvlJc w:val="left"/>
      <w:pPr>
        <w:tabs>
          <w:tab w:val="num" w:pos="0"/>
        </w:tabs>
        <w:ind w:left="2216" w:hanging="1080"/>
      </w:pPr>
      <w:rPr/>
    </w:lvl>
    <w:lvl w:ilvl="5">
      <w:start w:val="1"/>
      <w:numFmt w:val="decimal"/>
      <w:lvlText w:val="%1.%2.%3.%4.%5.%6"/>
      <w:lvlJc w:val="left"/>
      <w:pPr>
        <w:tabs>
          <w:tab w:val="num" w:pos="0"/>
        </w:tabs>
        <w:ind w:left="2500" w:hanging="1080"/>
      </w:pPr>
      <w:rPr/>
    </w:lvl>
    <w:lvl w:ilvl="6">
      <w:start w:val="1"/>
      <w:numFmt w:val="decimal"/>
      <w:lvlText w:val="%1.%2.%3.%4.%5.%6.%7"/>
      <w:lvlJc w:val="left"/>
      <w:pPr>
        <w:tabs>
          <w:tab w:val="num" w:pos="0"/>
        </w:tabs>
        <w:ind w:left="3144" w:hanging="1440"/>
      </w:pPr>
      <w:rPr/>
    </w:lvl>
    <w:lvl w:ilvl="7">
      <w:start w:val="1"/>
      <w:numFmt w:val="decimal"/>
      <w:lvlText w:val="%1.%2.%3.%4.%5.%6.%7.%8"/>
      <w:lvlJc w:val="left"/>
      <w:pPr>
        <w:tabs>
          <w:tab w:val="num" w:pos="0"/>
        </w:tabs>
        <w:ind w:left="3428" w:hanging="1440"/>
      </w:pPr>
      <w:rPr/>
    </w:lvl>
    <w:lvl w:ilvl="8">
      <w:start w:val="1"/>
      <w:numFmt w:val="decimal"/>
      <w:lvlText w:val="%1.%2.%3.%4.%5.%6.%7.%8.%9"/>
      <w:lvlJc w:val="left"/>
      <w:pPr>
        <w:tabs>
          <w:tab w:val="num" w:pos="0"/>
        </w:tabs>
        <w:ind w:left="3712" w:hanging="1440"/>
      </w:pPr>
      <w:rPr/>
    </w:lvl>
  </w:abstractNum>
  <w:abstractNum w:abstractNumId="4">
    <w:lvl w:ilvl="0">
      <w:start w:val="1"/>
      <w:numFmt w:val="lowerLetter"/>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40"/>
  <w:defaultTabStop w:val="708"/>
  <w:autoHyphenation w:val="true"/>
  <w:hyphenationZone w:val="283"/>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it-IT"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6c44"/>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it-IT" w:eastAsia="en-US" w:bidi="ar-SA"/>
      <w14:ligatures w14:val="standardContextual"/>
    </w:rPr>
  </w:style>
  <w:style w:type="paragraph" w:styleId="Heading3">
    <w:name w:val="Heading 3"/>
    <w:basedOn w:val="Normal"/>
    <w:link w:val="Titolo3Carattere"/>
    <w:uiPriority w:val="9"/>
    <w:qFormat/>
    <w:rsid w:val="005d1a81"/>
    <w:pPr>
      <w:spacing w:lineRule="auto" w:line="240" w:beforeAutospacing="1" w:afterAutospacing="1"/>
      <w:outlineLvl w:val="2"/>
    </w:pPr>
    <w:rPr>
      <w:rFonts w:ascii="Times New Roman" w:hAnsi="Times New Roman" w:eastAsia="Times New Roman" w:cs="Times New Roman"/>
      <w:b/>
      <w:bCs/>
      <w:kern w:val="0"/>
      <w:sz w:val="27"/>
      <w:szCs w:val="27"/>
      <w:lang w:eastAsia="it-IT"/>
      <w14:ligatures w14:val="none"/>
    </w:rPr>
  </w:style>
  <w:style w:type="character" w:styleId="DefaultParagraphFont" w:default="1">
    <w:name w:val="Default Paragraph Font"/>
    <w:uiPriority w:val="1"/>
    <w:semiHidden/>
    <w:unhideWhenUsed/>
    <w:qFormat/>
    <w:rPr/>
  </w:style>
  <w:style w:type="character" w:styleId="Caratterinotaapidipagina" w:customStyle="1">
    <w:name w:val="Caratteri nota a piè di pagina"/>
    <w:uiPriority w:val="99"/>
    <w:semiHidden/>
    <w:unhideWhenUsed/>
    <w:qFormat/>
    <w:rsid w:val="00045d8c"/>
    <w:rPr>
      <w:vertAlign w:val="superscript"/>
    </w:rPr>
  </w:style>
  <w:style w:type="character" w:styleId="FootnoteReference">
    <w:name w:val="Footnote Reference"/>
    <w:rPr>
      <w:vertAlign w:val="superscript"/>
    </w:rPr>
  </w:style>
  <w:style w:type="character" w:styleId="TestonotaapidipaginaCarattere" w:customStyle="1">
    <w:name w:val="Testo nota a piè di pagina Carattere"/>
    <w:basedOn w:val="DefaultParagraphFont"/>
    <w:uiPriority w:val="99"/>
    <w:semiHidden/>
    <w:qFormat/>
    <w:rsid w:val="00045d8c"/>
    <w:rPr>
      <w:sz w:val="20"/>
      <w:szCs w:val="20"/>
    </w:rPr>
  </w:style>
  <w:style w:type="character" w:styleId="NessunaspaziaturaCarattere" w:customStyle="1">
    <w:name w:val="Nessuna spaziatura Carattere"/>
    <w:basedOn w:val="DefaultParagraphFont"/>
    <w:link w:val="NoSpacing"/>
    <w:uiPriority w:val="1"/>
    <w:qFormat/>
    <w:rsid w:val="00907f38"/>
    <w:rPr>
      <w:rFonts w:eastAsia="" w:eastAsiaTheme="minorEastAsia"/>
      <w:kern w:val="0"/>
      <w:lang w:eastAsia="it-IT"/>
      <w14:ligatures w14:val="none"/>
    </w:rPr>
  </w:style>
  <w:style w:type="character" w:styleId="IntestazioneCarattere" w:customStyle="1">
    <w:name w:val="Intestazione Carattere"/>
    <w:basedOn w:val="DefaultParagraphFont"/>
    <w:uiPriority w:val="99"/>
    <w:qFormat/>
    <w:rsid w:val="00646c44"/>
    <w:rPr/>
  </w:style>
  <w:style w:type="character" w:styleId="PidipaginaCarattere" w:customStyle="1">
    <w:name w:val="Piè di pagina Carattere"/>
    <w:basedOn w:val="DefaultParagraphFont"/>
    <w:uiPriority w:val="99"/>
    <w:qFormat/>
    <w:rsid w:val="00646c44"/>
    <w:rPr/>
  </w:style>
  <w:style w:type="character" w:styleId="Titolo3Carattere" w:customStyle="1">
    <w:name w:val="Titolo 3 Carattere"/>
    <w:basedOn w:val="DefaultParagraphFont"/>
    <w:uiPriority w:val="9"/>
    <w:qFormat/>
    <w:rsid w:val="005d1a81"/>
    <w:rPr>
      <w:rFonts w:ascii="Times New Roman" w:hAnsi="Times New Roman" w:eastAsia="Times New Roman" w:cs="Times New Roman"/>
      <w:b/>
      <w:bCs/>
      <w:kern w:val="0"/>
      <w:sz w:val="27"/>
      <w:szCs w:val="27"/>
      <w:lang w:eastAsia="it-IT"/>
      <w14:ligatures w14:val="none"/>
    </w:rPr>
  </w:style>
  <w:style w:type="character" w:styleId="Hyperlink">
    <w:name w:val="Hyperlink"/>
    <w:basedOn w:val="DefaultParagraphFont"/>
    <w:uiPriority w:val="99"/>
    <w:unhideWhenUsed/>
    <w:rsid w:val="005d1a81"/>
    <w:rPr>
      <w:color w:val="0000FF"/>
      <w:u w:val="single"/>
    </w:rPr>
  </w:style>
  <w:style w:type="character" w:styleId="Caratterinotadichiusura" w:customStyle="1">
    <w:name w:val="Caratteri nota di chiusura"/>
    <w:qFormat/>
    <w:rPr>
      <w:vertAlign w:val="superscript"/>
    </w:rPr>
  </w:style>
  <w:style w:type="character" w:styleId="EndnoteReference">
    <w:name w:val="Endnote Reference"/>
    <w:rPr>
      <w:vertAlign w:val="superscript"/>
    </w:rPr>
  </w:style>
  <w:style w:type="character" w:styleId="UnresolvedMention">
    <w:name w:val="Unresolved Mention"/>
    <w:basedOn w:val="DefaultParagraphFont"/>
    <w:uiPriority w:val="99"/>
    <w:semiHidden/>
    <w:unhideWhenUsed/>
    <w:qFormat/>
    <w:rsid w:val="00a67b44"/>
    <w:rPr>
      <w:color w:val="605E5C"/>
      <w:shd w:fill="E1DFDD" w:val="clear"/>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Normal"/>
    <w:qFormat/>
    <w:pPr>
      <w:suppressLineNumbers/>
    </w:pPr>
    <w:rPr>
      <w:rFonts w:cs="Arial"/>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paragraph" w:styleId="Caption1">
    <w:name w:val="caption1"/>
    <w:basedOn w:val="Normal"/>
    <w:qFormat/>
    <w:pPr>
      <w:suppressLineNumbers/>
      <w:spacing w:before="120" w:after="120"/>
    </w:pPr>
    <w:rPr>
      <w:rFonts w:cs="Arial"/>
      <w:i/>
      <w:iCs/>
      <w:sz w:val="24"/>
      <w:szCs w:val="24"/>
    </w:rPr>
  </w:style>
  <w:style w:type="paragraph" w:styleId="Caption11" w:customStyle="1">
    <w:name w:val="caption11"/>
    <w:basedOn w:val="Normal"/>
    <w:qFormat/>
    <w:pPr>
      <w:suppressLineNumbers/>
      <w:spacing w:before="120" w:after="120"/>
    </w:pPr>
    <w:rPr>
      <w:rFonts w:cs="Arial"/>
      <w:i/>
      <w:iCs/>
      <w:sz w:val="24"/>
      <w:szCs w:val="24"/>
    </w:rPr>
  </w:style>
  <w:style w:type="paragraph" w:styleId="ListParagraph">
    <w:name w:val="List Paragraph"/>
    <w:basedOn w:val="Normal"/>
    <w:uiPriority w:val="34"/>
    <w:qFormat/>
    <w:rsid w:val="00045d8c"/>
    <w:pPr>
      <w:spacing w:lineRule="auto" w:line="240" w:before="0" w:after="0"/>
      <w:ind w:left="720"/>
      <w:contextualSpacing/>
    </w:pPr>
    <w:rPr>
      <w:kern w:val="0"/>
      <w:sz w:val="24"/>
      <w:szCs w:val="24"/>
      <w:lang w:val="en-GB"/>
      <w14:ligatures w14:val="none"/>
    </w:rPr>
  </w:style>
  <w:style w:type="paragraph" w:styleId="NormalWeb">
    <w:name w:val="Normal (Web)"/>
    <w:basedOn w:val="Normal"/>
    <w:uiPriority w:val="99"/>
    <w:semiHidden/>
    <w:unhideWhenUsed/>
    <w:qFormat/>
    <w:rsid w:val="00045d8c"/>
    <w:pPr>
      <w:spacing w:lineRule="auto" w:line="240" w:beforeAutospacing="1" w:afterAutospacing="1"/>
    </w:pPr>
    <w:rPr>
      <w:rFonts w:ascii="Times New Roman" w:hAnsi="Times New Roman" w:eastAsia="Times New Roman" w:cs="Times New Roman"/>
      <w:kern w:val="0"/>
      <w:sz w:val="24"/>
      <w:szCs w:val="24"/>
      <w:lang w:eastAsia="it-IT"/>
      <w14:ligatures w14:val="none"/>
    </w:rPr>
  </w:style>
  <w:style w:type="paragraph" w:styleId="FootnoteText">
    <w:name w:val="Footnote Text"/>
    <w:basedOn w:val="Normal"/>
    <w:link w:val="TestonotaapidipaginaCarattere"/>
    <w:uiPriority w:val="99"/>
    <w:semiHidden/>
    <w:unhideWhenUsed/>
    <w:rsid w:val="00045d8c"/>
    <w:pPr>
      <w:spacing w:lineRule="auto" w:line="240" w:before="0" w:after="0"/>
    </w:pPr>
    <w:rPr>
      <w:sz w:val="20"/>
      <w:szCs w:val="20"/>
    </w:rPr>
  </w:style>
  <w:style w:type="paragraph" w:styleId="Default" w:customStyle="1">
    <w:name w:val="Default"/>
    <w:qFormat/>
    <w:rsid w:val="00045d8c"/>
    <w:pPr>
      <w:widowControl/>
      <w:suppressAutoHyphens w:val="true"/>
      <w:bidi w:val="0"/>
      <w:spacing w:before="0" w:after="0"/>
      <w:jc w:val="left"/>
    </w:pPr>
    <w:rPr>
      <w:rFonts w:ascii="Times New Roman" w:hAnsi="Times New Roman" w:eastAsia="Calibri" w:cs="Times New Roman"/>
      <w:color w:val="000000"/>
      <w:kern w:val="0"/>
      <w:sz w:val="24"/>
      <w:szCs w:val="24"/>
      <w:lang w:val="it-IT" w:eastAsia="en-US" w:bidi="ar-SA"/>
    </w:rPr>
  </w:style>
  <w:style w:type="paragraph" w:styleId="NoSpacing">
    <w:name w:val="No Spacing"/>
    <w:link w:val="NessunaspaziaturaCarattere"/>
    <w:uiPriority w:val="1"/>
    <w:qFormat/>
    <w:rsid w:val="00907f38"/>
    <w:pPr>
      <w:widowControl/>
      <w:suppressAutoHyphens w:val="true"/>
      <w:bidi w:val="0"/>
      <w:spacing w:before="0" w:after="0"/>
      <w:jc w:val="left"/>
    </w:pPr>
    <w:rPr>
      <w:rFonts w:ascii="Calibri" w:hAnsi="Calibri" w:eastAsia="" w:cs="" w:eastAsiaTheme="minorEastAsia"/>
      <w:color w:val="auto"/>
      <w:kern w:val="0"/>
      <w:sz w:val="22"/>
      <w:szCs w:val="22"/>
      <w:lang w:val="it-IT" w:eastAsia="it-IT" w:bidi="ar-SA"/>
      <w14:ligatures w14:val="none"/>
    </w:rPr>
  </w:style>
  <w:style w:type="paragraph" w:styleId="Intestazioneepidipagina" w:customStyle="1">
    <w:name w:val="Intestazione e piè di pagina"/>
    <w:basedOn w:val="Normal"/>
    <w:qFormat/>
    <w:pPr/>
    <w:rPr/>
  </w:style>
  <w:style w:type="paragraph" w:styleId="Header">
    <w:name w:val="Header"/>
    <w:basedOn w:val="Normal"/>
    <w:link w:val="IntestazioneCarattere"/>
    <w:uiPriority w:val="99"/>
    <w:unhideWhenUsed/>
    <w:rsid w:val="00646c44"/>
    <w:pPr>
      <w:tabs>
        <w:tab w:val="clear" w:pos="708"/>
        <w:tab w:val="center" w:pos="4819" w:leader="none"/>
        <w:tab w:val="right" w:pos="9638" w:leader="none"/>
      </w:tabs>
      <w:spacing w:lineRule="auto" w:line="240" w:before="0" w:after="0"/>
    </w:pPr>
    <w:rPr/>
  </w:style>
  <w:style w:type="paragraph" w:styleId="Footer">
    <w:name w:val="Footer"/>
    <w:basedOn w:val="Normal"/>
    <w:link w:val="PidipaginaCarattere"/>
    <w:uiPriority w:val="99"/>
    <w:unhideWhenUsed/>
    <w:rsid w:val="00646c44"/>
    <w:pPr>
      <w:tabs>
        <w:tab w:val="clear" w:pos="708"/>
        <w:tab w:val="center" w:pos="4819" w:leader="none"/>
        <w:tab w:val="right" w:pos="9638" w:leader="none"/>
      </w:tabs>
      <w:spacing w:lineRule="auto" w:line="240" w:before="0" w:after="0"/>
    </w:pPr>
    <w:rPr/>
  </w:style>
  <w:style w:type="paragraph" w:styleId="Contenutocornice" w:customStyle="1">
    <w:name w:val="Contenuto cornice"/>
    <w:basedOn w:val="Normal"/>
    <w:qFormat/>
    <w:pPr/>
    <w:rPr/>
  </w:style>
  <w:style w:type="paragraph" w:styleId="Contenutotabella" w:customStyle="1">
    <w:name w:val="Contenuto tabella"/>
    <w:basedOn w:val="Normal"/>
    <w:qFormat/>
    <w:pPr>
      <w:widowControl w:val="false"/>
      <w:suppressLineNumbers/>
    </w:pPr>
    <w:rPr/>
  </w:style>
  <w:style w:type="paragraph" w:styleId="Titolotabella" w:customStyle="1">
    <w:name w:val="Titolo tabella"/>
    <w:basedOn w:val="Contenutotabella"/>
    <w:qFormat/>
    <w:pPr>
      <w:jc w:val="center"/>
    </w:pPr>
    <w:rPr>
      <w:b/>
      <w:bCs/>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rsid w:val="0075360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4.wmf"/><Relationship Id="rId6" Type="http://schemas.openxmlformats.org/officeDocument/2006/relationships/hyperlink" Target="https://costruttoridipace.net/" TargetMode="External"/><Relationship Id="rId7" Type="http://schemas.openxmlformats.org/officeDocument/2006/relationships/image" Target="media/image5.wmf"/><Relationship Id="rId8" Type="http://schemas.openxmlformats.org/officeDocument/2006/relationships/image" Target="media/image6.png"/><Relationship Id="rId9" Type="http://schemas.openxmlformats.org/officeDocument/2006/relationships/image" Target="media/image7.wmf"/><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wmf"/><Relationship Id="rId13" Type="http://schemas.openxmlformats.org/officeDocument/2006/relationships/image" Target="media/image11.wmf"/><Relationship Id="rId14" Type="http://schemas.openxmlformats.org/officeDocument/2006/relationships/image" Target="media/image9.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footnotes" Target="footnotes.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glossaryDocument" Target="glossary/document.xml"/>
</Relationships>
</file>

<file path=word/_rels/footnotes.xml.rels><?xml version="1.0" encoding="UTF-8"?>
<Relationships xmlns="http://schemas.openxmlformats.org/package/2006/relationships"><Relationship Id="rId1" Type="http://schemas.openxmlformats.org/officeDocument/2006/relationships/hyperlink" Target="https://papers.ssrn.com/sol3/papers.cfm?abstract_id=4684768" TargetMode="Externa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A4F7081B94349209A8850030A1980D5"/>
        <w:category>
          <w:name w:val="Generale"/>
          <w:gallery w:val="placeholder"/>
        </w:category>
        <w:types>
          <w:type w:val="bbPlcHdr"/>
        </w:types>
        <w:behaviors>
          <w:behavior w:val="content"/>
        </w:behaviors>
        <w:guid w:val="{2088E99D-7979-472F-9706-D5EFB0BA7846}"/>
      </w:docPartPr>
      <w:docPartBody>
        <w:p w:rsidR="00F9503B" w:rsidRDefault="0084099E" w:rsidP="0084099E">
          <w:pPr>
            <w:pStyle w:val="FA4F7081B94349209A8850030A1980D5"/>
          </w:pPr>
          <w:r>
            <w:rPr>
              <w:color w:val="2F5496" w:themeColor="accent1" w:themeShade="BF"/>
              <w:sz w:val="24"/>
              <w:szCs w:val="24"/>
            </w:rPr>
            <w:t>[Nome della società]</w:t>
          </w:r>
        </w:p>
      </w:docPartBody>
    </w:docPart>
    <w:docPart>
      <w:docPartPr>
        <w:name w:val="86E7D892DB45449DA76DCD25096FF031"/>
        <w:category>
          <w:name w:val="Generale"/>
          <w:gallery w:val="placeholder"/>
        </w:category>
        <w:types>
          <w:type w:val="bbPlcHdr"/>
        </w:types>
        <w:behaviors>
          <w:behavior w:val="content"/>
        </w:behaviors>
        <w:guid w:val="{93951E3D-CBFD-4A73-820C-6D98312DCABF}"/>
      </w:docPartPr>
      <w:docPartBody>
        <w:p w:rsidR="00F9503B" w:rsidRDefault="0084099E" w:rsidP="0084099E">
          <w:pPr>
            <w:pStyle w:val="86E7D892DB45449DA76DCD25096FF031"/>
          </w:pPr>
          <w:r>
            <w:rPr>
              <w:rFonts w:asciiTheme="majorHAnsi" w:eastAsiaTheme="majorEastAsia" w:hAnsiTheme="majorHAnsi" w:cstheme="majorBidi"/>
              <w:color w:val="4472C4" w:themeColor="accent1"/>
              <w:sz w:val="88"/>
              <w:szCs w:val="88"/>
            </w:rPr>
            <w:t>[Titolo del documento]</w:t>
          </w:r>
        </w:p>
      </w:docPartBody>
    </w:docPart>
    <w:docPart>
      <w:docPartPr>
        <w:name w:val="1773586E12FA46EDAEAC09514AC0C7B3"/>
        <w:category>
          <w:name w:val="Generale"/>
          <w:gallery w:val="placeholder"/>
        </w:category>
        <w:types>
          <w:type w:val="bbPlcHdr"/>
        </w:types>
        <w:behaviors>
          <w:behavior w:val="content"/>
        </w:behaviors>
        <w:guid w:val="{7164CD84-CE04-48A2-BB1F-57A9CD0BA1F7}"/>
      </w:docPartPr>
      <w:docPartBody>
        <w:p w:rsidR="00F9503B" w:rsidRDefault="0084099E" w:rsidP="0084099E">
          <w:pPr>
            <w:pStyle w:val="1773586E12FA46EDAEAC09514AC0C7B3"/>
          </w:pPr>
          <w:r>
            <w:rPr>
              <w:color w:val="2F5496" w:themeColor="accent1" w:themeShade="BF"/>
              <w:sz w:val="24"/>
              <w:szCs w:val="24"/>
            </w:rPr>
            <w:t>[Sottotitolo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99E"/>
    <w:rsid w:val="00171E1B"/>
    <w:rsid w:val="004C50E2"/>
    <w:rsid w:val="0064755E"/>
    <w:rsid w:val="007C3A2C"/>
    <w:rsid w:val="0084099E"/>
    <w:rsid w:val="0086310C"/>
    <w:rsid w:val="00B01819"/>
    <w:rsid w:val="00DD0961"/>
    <w:rsid w:val="00F5323F"/>
    <w:rsid w:val="00F950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A4F7081B94349209A8850030A1980D5">
    <w:name w:val="FA4F7081B94349209A8850030A1980D5"/>
    <w:rsid w:val="0084099E"/>
  </w:style>
  <w:style w:type="paragraph" w:customStyle="1" w:styleId="86E7D892DB45449DA76DCD25096FF031">
    <w:name w:val="86E7D892DB45449DA76DCD25096FF031"/>
    <w:rsid w:val="0084099E"/>
  </w:style>
  <w:style w:type="paragraph" w:customStyle="1" w:styleId="1773586E12FA46EDAEAC09514AC0C7B3">
    <w:name w:val="1773586E12FA46EDAEAC09514AC0C7B3"/>
    <w:rsid w:val="008409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1428</TotalTime>
  <Application>LibreOffice/7.6.4.1$Windows_X86_64 LibreOffice_project/e19e193f88cd6c0525a17fb7a176ed8e6a3e2aa1</Application>
  <AppVersion>15.0000</AppVersion>
  <Pages>18</Pages>
  <Words>6802</Words>
  <Characters>40382</Characters>
  <CharactersWithSpaces>48061</CharactersWithSpaces>
  <Paragraphs>171</Paragraphs>
  <Company>Riflessioni e proposte scaturite dall’incontro del 24/02/2024                                                 presso il Salone d’Onore della Basilica S. Maria in Cosmedin - Roma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2024-04-22T14:04:00Z</dcterms:created>
  <dc:creator>Antonella Trocino</dc:creator>
  <dc:description/>
  <dc:language>en-GB</dc:language>
  <cp:lastModifiedBy/>
  <cp:lastPrinted>2024-04-23T11:12:00Z</cp:lastPrinted>
  <dcterms:modified xsi:type="dcterms:W3CDTF">2024-04-26T14:58:42Z</dcterms:modified>
  <cp:revision>4</cp:revision>
  <dc:subject>Aprile 2024</dc:subject>
  <dc:title>LE VIE PER FARE LA PACE</dc:title>
</cp:coreProperties>
</file>

<file path=docProps/custom.xml><?xml version="1.0" encoding="utf-8"?>
<Properties xmlns="http://schemas.openxmlformats.org/officeDocument/2006/custom-properties" xmlns:vt="http://schemas.openxmlformats.org/officeDocument/2006/docPropsVTypes"/>
</file>